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81C51">
      <w:pPr>
        <w:spacing w:line="560" w:lineRule="exact"/>
        <w:jc w:val="center"/>
        <w:rPr>
          <w:rFonts w:hint="eastAsia" w:ascii="方正小标宋简体" w:hAnsi="方正小标宋简体" w:eastAsia="方正小标宋简体" w:cs="方正小标宋简体"/>
          <w:color w:val="auto"/>
          <w:sz w:val="44"/>
          <w:szCs w:val="44"/>
        </w:rPr>
      </w:pPr>
    </w:p>
    <w:p w14:paraId="05372E94">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关于非学科类校外</w:t>
      </w:r>
      <w:r>
        <w:rPr>
          <w:rFonts w:hint="eastAsia" w:ascii="方正小标宋简体" w:hAnsi="方正小标宋简体" w:eastAsia="方正小标宋简体" w:cs="方正小标宋简体"/>
          <w:color w:val="auto"/>
          <w:sz w:val="44"/>
          <w:szCs w:val="44"/>
          <w:lang w:eastAsia="zh-CN"/>
        </w:rPr>
        <w:t>教育</w:t>
      </w:r>
      <w:r>
        <w:rPr>
          <w:rFonts w:hint="eastAsia" w:ascii="方正小标宋简体" w:hAnsi="方正小标宋简体" w:eastAsia="方正小标宋简体" w:cs="方正小标宋简体"/>
          <w:color w:val="auto"/>
          <w:sz w:val="44"/>
          <w:szCs w:val="44"/>
        </w:rPr>
        <w:t>培训机构</w:t>
      </w:r>
      <w:r>
        <w:rPr>
          <w:rFonts w:hint="eastAsia" w:ascii="方正小标宋简体" w:hAnsi="方正小标宋简体" w:eastAsia="方正小标宋简体" w:cs="方正小标宋简体"/>
          <w:color w:val="auto"/>
          <w:sz w:val="44"/>
          <w:szCs w:val="44"/>
          <w:lang w:eastAsia="zh-CN"/>
        </w:rPr>
        <w:t>进校园</w:t>
      </w:r>
    </w:p>
    <w:p w14:paraId="643D7240">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服务</w:t>
      </w:r>
      <w:r>
        <w:rPr>
          <w:rFonts w:hint="eastAsia" w:ascii="方正小标宋简体" w:hAnsi="方正小标宋简体" w:eastAsia="方正小标宋简体" w:cs="方正小标宋简体"/>
          <w:color w:val="auto"/>
          <w:sz w:val="44"/>
          <w:szCs w:val="44"/>
        </w:rPr>
        <w:t>的</w:t>
      </w:r>
      <w:r>
        <w:rPr>
          <w:rFonts w:hint="eastAsia" w:ascii="方正小标宋简体" w:hAnsi="方正小标宋简体" w:eastAsia="方正小标宋简体" w:cs="方正小标宋简体"/>
          <w:color w:val="auto"/>
          <w:sz w:val="44"/>
          <w:szCs w:val="44"/>
          <w:lang w:eastAsia="zh-CN"/>
        </w:rPr>
        <w:t>实施方案（征求意见稿）</w:t>
      </w:r>
    </w:p>
    <w:p w14:paraId="7ADAB674">
      <w:pPr>
        <w:rPr>
          <w:color w:val="auto"/>
        </w:rPr>
      </w:pPr>
    </w:p>
    <w:p w14:paraId="3472B8C7">
      <w:pPr>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val="en-US" w:eastAsia="zh-CN"/>
        </w:rPr>
        <w:t>为满足学生多样化发展的需要，规范非学科类校外教育培训机构进校园服务行为，推动中小学校高质量开展课后服务工作，根据《中共中央办公厅国务院办公厅关于进一步减轻义务教育阶段学生作业负担和校外培训负担的意见》（中办发〔2021〕40号）《山东省教育厅关于进一步规范引入第三方参与校内课后服务工作的通知》（鲁教基函〔2022〕22号）精神，结合我市工作实际，决定遴选优质非学科类校外教育培训机构参与课后服务。现制定如下实施方案：</w:t>
      </w:r>
    </w:p>
    <w:p w14:paraId="5CC83427">
      <w:pPr>
        <w:ind w:firstLine="640" w:firstLineChars="200"/>
        <w:rPr>
          <w:rFonts w:hint="eastAsia" w:ascii="黑体" w:hAnsi="黑体" w:eastAsia="黑体" w:cs="黑体"/>
          <w:color w:val="auto"/>
          <w:lang w:eastAsia="zh-CN"/>
        </w:rPr>
      </w:pPr>
      <w:r>
        <w:rPr>
          <w:rFonts w:hint="eastAsia" w:ascii="黑体" w:hAnsi="黑体" w:eastAsia="黑体" w:cs="黑体"/>
          <w:color w:val="auto"/>
        </w:rPr>
        <w:t>一、</w:t>
      </w:r>
      <w:r>
        <w:rPr>
          <w:rFonts w:hint="eastAsia" w:ascii="黑体" w:hAnsi="黑体" w:eastAsia="黑体" w:cs="黑体"/>
          <w:color w:val="auto"/>
          <w:lang w:eastAsia="zh-CN"/>
        </w:rPr>
        <w:t>适用范围</w:t>
      </w:r>
      <w:bookmarkStart w:id="0" w:name="_GoBack"/>
      <w:bookmarkEnd w:id="0"/>
    </w:p>
    <w:p w14:paraId="59F74E5E">
      <w:pPr>
        <w:ind w:firstLine="640" w:firstLineChars="200"/>
        <w:rPr>
          <w:rFonts w:ascii="仿宋_GB2312" w:hAnsi="仿宋_GB2312" w:cs="仿宋_GB2312"/>
          <w:color w:val="auto"/>
          <w:lang w:val="en-US" w:eastAsia="zh-CN"/>
        </w:rPr>
      </w:pPr>
      <w:r>
        <w:rPr>
          <w:rFonts w:ascii="仿宋_GB2312" w:hAnsi="仿宋_GB2312" w:cs="仿宋_GB2312"/>
          <w:color w:val="auto"/>
          <w:lang w:val="en-US" w:eastAsia="zh-CN"/>
        </w:rPr>
        <w:t>在</w:t>
      </w:r>
      <w:r>
        <w:rPr>
          <w:rFonts w:hint="eastAsia" w:ascii="仿宋_GB2312" w:hAnsi="仿宋_GB2312" w:cs="仿宋_GB2312"/>
          <w:color w:val="auto"/>
          <w:lang w:val="en-US" w:eastAsia="zh-CN"/>
        </w:rPr>
        <w:t>泰安市市</w:t>
      </w:r>
      <w:r>
        <w:rPr>
          <w:rFonts w:ascii="仿宋_GB2312" w:hAnsi="仿宋_GB2312" w:cs="仿宋_GB2312"/>
          <w:color w:val="auto"/>
          <w:lang w:val="en-US" w:eastAsia="zh-CN"/>
        </w:rPr>
        <w:t>域范围内的证照齐全、纳入全国校外教育培训监管与服务综合平台且已开通</w:t>
      </w:r>
      <w:r>
        <w:rPr>
          <w:rFonts w:hint="eastAsia" w:ascii="仿宋_GB2312" w:hAnsi="仿宋_GB2312" w:cs="仿宋_GB2312"/>
          <w:color w:val="auto"/>
          <w:lang w:val="en-US" w:eastAsia="zh-CN"/>
        </w:rPr>
        <w:t>监管账户</w:t>
      </w:r>
      <w:r>
        <w:rPr>
          <w:rFonts w:ascii="仿宋_GB2312" w:hAnsi="仿宋_GB2312" w:cs="仿宋_GB2312"/>
          <w:color w:val="auto"/>
          <w:lang w:val="en-US" w:eastAsia="zh-CN"/>
        </w:rPr>
        <w:t>的非学科类校外</w:t>
      </w:r>
      <w:r>
        <w:rPr>
          <w:rFonts w:hint="eastAsia" w:ascii="仿宋_GB2312" w:hAnsi="仿宋_GB2312" w:cs="仿宋_GB2312"/>
          <w:color w:val="auto"/>
          <w:lang w:val="en-US" w:eastAsia="zh-CN"/>
        </w:rPr>
        <w:t>教育</w:t>
      </w:r>
      <w:r>
        <w:rPr>
          <w:rFonts w:ascii="仿宋_GB2312" w:hAnsi="仿宋_GB2312" w:cs="仿宋_GB2312"/>
          <w:color w:val="auto"/>
          <w:lang w:val="en-US" w:eastAsia="zh-CN"/>
        </w:rPr>
        <w:t>培训机构</w:t>
      </w:r>
      <w:r>
        <w:rPr>
          <w:rFonts w:hint="eastAsia" w:ascii="仿宋_GB2312" w:hAnsi="仿宋_GB2312" w:cs="仿宋_GB2312"/>
          <w:color w:val="auto"/>
          <w:lang w:val="en-US" w:eastAsia="zh-CN"/>
        </w:rPr>
        <w:t>（艺术类、科技类、体育类）。其中，</w:t>
      </w:r>
      <w:r>
        <w:rPr>
          <w:rFonts w:hint="eastAsia" w:ascii="仿宋_GB2312" w:hAnsi="仿宋_GB2312" w:cs="仿宋_GB2312"/>
          <w:color w:val="auto"/>
          <w:u w:val="none"/>
          <w:lang w:val="en-US" w:eastAsia="zh-CN"/>
        </w:rPr>
        <w:t>在泰安市开展的校外教育培训机构星级评定工作中，被评为四星级、五星级的培训机构，且同时在泰安市组织的培训机构预收费专项监管工作中被评为绿牌的机构，可</w:t>
      </w:r>
      <w:r>
        <w:rPr>
          <w:rFonts w:hint="eastAsia" w:ascii="仿宋_GB2312" w:hAnsi="仿宋_GB2312" w:eastAsia="仿宋_GB2312" w:cs="仿宋_GB2312"/>
          <w:color w:val="auto"/>
          <w:highlight w:val="none"/>
          <w:u w:val="none"/>
          <w:lang w:val="en-US" w:eastAsia="zh-CN"/>
        </w:rPr>
        <w:t>优先</w:t>
      </w:r>
      <w:r>
        <w:rPr>
          <w:rFonts w:hint="eastAsia" w:ascii="仿宋_GB2312" w:hAnsi="仿宋_GB2312" w:eastAsia="仿宋_GB2312" w:cs="仿宋_GB2312"/>
          <w:u w:val="none"/>
          <w:lang w:val="en-US" w:eastAsia="zh-CN"/>
        </w:rPr>
        <w:t>进入学校开展课后服务</w:t>
      </w:r>
      <w:r>
        <w:rPr>
          <w:rFonts w:ascii="仿宋_GB2312" w:hAnsi="仿宋_GB2312" w:cs="仿宋_GB2312"/>
          <w:color w:val="auto"/>
          <w:u w:val="none"/>
          <w:lang w:val="en-US" w:eastAsia="zh-CN"/>
        </w:rPr>
        <w:t>。</w:t>
      </w:r>
      <w:r>
        <w:rPr>
          <w:rFonts w:hint="eastAsia" w:ascii="仿宋_GB2312" w:hAnsi="仿宋_GB2312" w:cs="仿宋_GB2312"/>
          <w:color w:val="auto"/>
          <w:lang w:val="en-US" w:eastAsia="zh-CN"/>
        </w:rPr>
        <w:t>学校指全市初中、小学等义务教育机构。</w:t>
      </w:r>
    </w:p>
    <w:p w14:paraId="0FE381E7">
      <w:pPr>
        <w:ind w:firstLine="640" w:firstLineChars="200"/>
        <w:rPr>
          <w:rFonts w:hint="eastAsia" w:ascii="CESI黑体-GB2312" w:hAnsi="CESI黑体-GB2312" w:eastAsia="CESI黑体-GB2312" w:cs="CESI黑体-GB2312"/>
          <w:color w:val="auto"/>
          <w:lang w:val="en-US" w:eastAsia="zh-CN"/>
        </w:rPr>
      </w:pPr>
      <w:r>
        <w:rPr>
          <w:rFonts w:hint="eastAsia" w:ascii="CESI黑体-GB2312" w:hAnsi="CESI黑体-GB2312" w:eastAsia="CESI黑体-GB2312" w:cs="CESI黑体-GB2312"/>
          <w:color w:val="auto"/>
          <w:lang w:val="en-US" w:eastAsia="zh-CN"/>
        </w:rPr>
        <w:t>二、基本原则</w:t>
      </w:r>
    </w:p>
    <w:p w14:paraId="7EAAA03E">
      <w:pPr>
        <w:ind w:firstLine="640" w:firstLineChars="200"/>
        <w:rPr>
          <w:rFonts w:ascii="仿宋_GB2312" w:hAnsi="仿宋_GB2312" w:cs="仿宋_GB2312"/>
          <w:color w:val="auto"/>
          <w:lang w:val="en-US" w:eastAsia="zh-CN"/>
        </w:rPr>
      </w:pPr>
      <w:r>
        <w:rPr>
          <w:rFonts w:ascii="仿宋_GB2312" w:hAnsi="仿宋_GB2312" w:cs="仿宋_GB2312"/>
          <w:color w:val="auto"/>
          <w:lang w:val="en-US" w:eastAsia="zh-CN"/>
        </w:rPr>
        <w:t>1.立德树人</w:t>
      </w:r>
      <w:r>
        <w:rPr>
          <w:rFonts w:hint="eastAsia" w:ascii="仿宋_GB2312" w:hAnsi="仿宋_GB2312" w:cs="仿宋_GB2312"/>
          <w:color w:val="auto"/>
          <w:lang w:val="en-US" w:eastAsia="zh-CN"/>
        </w:rPr>
        <w:t>原则。</w:t>
      </w:r>
      <w:r>
        <w:rPr>
          <w:rFonts w:ascii="仿宋_GB2312" w:hAnsi="仿宋_GB2312" w:cs="仿宋_GB2312"/>
          <w:color w:val="auto"/>
          <w:lang w:val="en-US" w:eastAsia="zh-CN"/>
        </w:rPr>
        <w:t>进校园服务的非学科类校外</w:t>
      </w:r>
      <w:r>
        <w:rPr>
          <w:rFonts w:hint="eastAsia" w:ascii="仿宋_GB2312" w:hAnsi="仿宋_GB2312" w:cs="仿宋_GB2312"/>
          <w:color w:val="auto"/>
          <w:lang w:val="en-US" w:eastAsia="zh-CN"/>
        </w:rPr>
        <w:t>教育</w:t>
      </w:r>
      <w:r>
        <w:rPr>
          <w:rFonts w:ascii="仿宋_GB2312" w:hAnsi="仿宋_GB2312" w:cs="仿宋_GB2312"/>
          <w:color w:val="auto"/>
          <w:lang w:val="en-US" w:eastAsia="zh-CN"/>
        </w:rPr>
        <w:t>培训机构，须遵守国家相关法律法规要求，坚持立德树人根本任务，坚持</w:t>
      </w:r>
      <w:r>
        <w:rPr>
          <w:rFonts w:hint="eastAsia" w:ascii="仿宋_GB2312" w:hAnsi="仿宋_GB2312" w:cs="仿宋_GB2312"/>
          <w:color w:val="auto"/>
        </w:rPr>
        <w:t>国家教育方针</w:t>
      </w:r>
      <w:r>
        <w:rPr>
          <w:rFonts w:ascii="仿宋_GB2312" w:hAnsi="仿宋_GB2312" w:cs="仿宋_GB2312"/>
          <w:color w:val="auto"/>
          <w:lang w:val="en-US" w:eastAsia="zh-CN"/>
        </w:rPr>
        <w:t>，践行社会主义核心价值观，促进学生身心健康发展。</w:t>
      </w:r>
    </w:p>
    <w:p w14:paraId="72370B03">
      <w:pPr>
        <w:ind w:firstLine="480" w:firstLineChars="150"/>
        <w:rPr>
          <w:rFonts w:hint="default" w:ascii="方正隶书_GBK" w:hAnsi="方正隶书_GBK" w:eastAsia="方正隶书_GBK" w:cs="方正隶书_GBK"/>
          <w:color w:val="auto"/>
          <w:lang w:val="en-US" w:eastAsia="zh-CN"/>
        </w:rPr>
      </w:pPr>
      <w:r>
        <w:rPr>
          <w:rFonts w:ascii="仿宋_GB2312" w:hAnsi="仿宋_GB2312" w:cs="仿宋_GB2312"/>
          <w:color w:val="auto"/>
          <w:lang w:val="en-US" w:eastAsia="zh-CN"/>
        </w:rPr>
        <w:t>2.公益普惠</w:t>
      </w:r>
      <w:r>
        <w:rPr>
          <w:rFonts w:hint="eastAsia" w:ascii="仿宋_GB2312" w:hAnsi="仿宋_GB2312" w:cs="仿宋_GB2312"/>
          <w:color w:val="auto"/>
          <w:lang w:val="en-US" w:eastAsia="zh-CN"/>
        </w:rPr>
        <w:t>原则</w:t>
      </w:r>
      <w:r>
        <w:rPr>
          <w:rFonts w:ascii="仿宋_GB2312" w:hAnsi="仿宋_GB2312" w:cs="仿宋_GB2312"/>
          <w:color w:val="auto"/>
          <w:lang w:val="en-US" w:eastAsia="zh-CN"/>
        </w:rPr>
        <w:t>。</w:t>
      </w:r>
      <w:r>
        <w:rPr>
          <w:rFonts w:hint="eastAsia" w:ascii="仿宋_GB2312" w:hAnsi="仿宋_GB2312" w:cs="仿宋_GB2312"/>
          <w:color w:val="auto"/>
        </w:rPr>
        <w:t>坚持公益普惠，</w:t>
      </w:r>
      <w:r>
        <w:rPr>
          <w:rFonts w:hint="eastAsia" w:ascii="仿宋_GB2312" w:hAnsi="仿宋_GB2312" w:cs="仿宋_GB2312"/>
          <w:strike w:val="0"/>
          <w:dstrike w:val="0"/>
          <w:color w:val="auto"/>
        </w:rPr>
        <w:t>不以营利为目的</w:t>
      </w:r>
      <w:r>
        <w:rPr>
          <w:rFonts w:hint="eastAsia" w:ascii="仿宋_GB2312" w:hAnsi="仿宋_GB2312" w:cs="仿宋_GB2312"/>
          <w:color w:val="auto"/>
          <w:lang w:eastAsia="zh-CN"/>
        </w:rPr>
        <w:t>；</w:t>
      </w:r>
      <w:r>
        <w:rPr>
          <w:rFonts w:hint="eastAsia" w:ascii="仿宋_GB2312" w:hAnsi="仿宋_GB2312" w:cs="仿宋_GB2312"/>
          <w:color w:val="auto"/>
        </w:rPr>
        <w:t>代收费标准</w:t>
      </w:r>
      <w:r>
        <w:rPr>
          <w:rFonts w:hint="eastAsia" w:ascii="仿宋_GB2312" w:hAnsi="仿宋_GB2312" w:cs="仿宋_GB2312"/>
          <w:color w:val="auto"/>
          <w:lang w:eastAsia="zh-CN"/>
        </w:rPr>
        <w:t>参照</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山东省教育厅等</w:t>
      </w:r>
      <w:r>
        <w:rPr>
          <w:rFonts w:hint="eastAsia" w:ascii="仿宋_GB2312" w:hAnsi="仿宋_GB2312" w:cs="仿宋_GB2312"/>
          <w:color w:val="auto"/>
          <w:lang w:val="en-US" w:eastAsia="zh-CN"/>
        </w:rPr>
        <w:t>4部门关于印发</w:t>
      </w:r>
      <w:r>
        <w:rPr>
          <w:rFonts w:hint="eastAsia" w:ascii="汉仪平安行粗简" w:hAnsi="汉仪平安行粗简" w:eastAsia="汉仪平安行粗简" w:cs="汉仪平安行粗简"/>
          <w:color w:val="auto"/>
          <w:lang w:val="en-US" w:eastAsia="zh-CN"/>
        </w:rPr>
        <w:t>〈</w:t>
      </w:r>
      <w:r>
        <w:rPr>
          <w:rFonts w:hint="eastAsia" w:ascii="仿宋_GB2312" w:hAnsi="仿宋_GB2312" w:cs="仿宋_GB2312"/>
          <w:color w:val="auto"/>
          <w:lang w:eastAsia="zh-CN"/>
        </w:rPr>
        <w:t>山东省义务教育学校课后服务经费保障办法</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的通知》（鲁教财字〔2024〕1号）要求</w:t>
      </w:r>
      <w:r>
        <w:rPr>
          <w:rFonts w:hint="eastAsia" w:ascii="仿宋_GB2312" w:hAnsi="仿宋_GB2312" w:cs="仿宋_GB2312"/>
          <w:color w:val="auto"/>
          <w:lang w:eastAsia="zh-CN"/>
        </w:rPr>
        <w:t>执行。</w:t>
      </w:r>
    </w:p>
    <w:p w14:paraId="57450E45">
      <w:pPr>
        <w:ind w:firstLine="640" w:firstLineChars="200"/>
        <w:rPr>
          <w:rFonts w:ascii="仿宋_GB2312" w:hAnsi="仿宋_GB2312" w:cs="仿宋_GB2312"/>
          <w:color w:val="auto"/>
          <w:lang w:val="en-US" w:eastAsia="zh-CN"/>
        </w:rPr>
      </w:pPr>
      <w:r>
        <w:rPr>
          <w:rFonts w:ascii="仿宋_GB2312" w:hAnsi="仿宋_GB2312" w:cs="仿宋_GB2312"/>
          <w:color w:val="auto"/>
          <w:lang w:val="en-US" w:eastAsia="zh-CN"/>
        </w:rPr>
        <w:t>3.公平公开</w:t>
      </w:r>
      <w:r>
        <w:rPr>
          <w:rFonts w:hint="eastAsia" w:ascii="仿宋_GB2312" w:hAnsi="仿宋_GB2312" w:cs="仿宋_GB2312"/>
          <w:color w:val="auto"/>
          <w:lang w:val="en-US" w:eastAsia="zh-CN"/>
        </w:rPr>
        <w:t>原则</w:t>
      </w:r>
      <w:r>
        <w:rPr>
          <w:rFonts w:ascii="仿宋_GB2312" w:hAnsi="仿宋_GB2312" w:cs="仿宋_GB2312"/>
          <w:color w:val="auto"/>
          <w:lang w:val="en-US" w:eastAsia="zh-CN"/>
        </w:rPr>
        <w:t>。所有参与学校</w:t>
      </w:r>
      <w:r>
        <w:rPr>
          <w:rFonts w:hint="eastAsia" w:ascii="仿宋_GB2312" w:hAnsi="仿宋_GB2312" w:cs="仿宋_GB2312"/>
          <w:color w:val="auto"/>
          <w:lang w:val="en-US" w:eastAsia="zh-CN"/>
        </w:rPr>
        <w:t>课后</w:t>
      </w:r>
      <w:r>
        <w:rPr>
          <w:rFonts w:ascii="仿宋_GB2312" w:hAnsi="仿宋_GB2312" w:cs="仿宋_GB2312"/>
          <w:color w:val="auto"/>
          <w:lang w:val="en-US" w:eastAsia="zh-CN"/>
        </w:rPr>
        <w:t>服务的</w:t>
      </w:r>
      <w:r>
        <w:rPr>
          <w:rFonts w:hint="eastAsia" w:ascii="仿宋_GB2312" w:hAnsi="仿宋_GB2312" w:cs="仿宋_GB2312"/>
          <w:color w:val="auto"/>
          <w:lang w:val="en-US" w:eastAsia="zh-CN"/>
        </w:rPr>
        <w:t>机构</w:t>
      </w:r>
      <w:r>
        <w:rPr>
          <w:rFonts w:ascii="仿宋_GB2312" w:hAnsi="仿宋_GB2312" w:cs="仿宋_GB2312"/>
          <w:color w:val="auto"/>
          <w:lang w:val="en-US" w:eastAsia="zh-CN"/>
        </w:rPr>
        <w:t>信息</w:t>
      </w:r>
      <w:r>
        <w:rPr>
          <w:rFonts w:hint="eastAsia" w:ascii="仿宋_GB2312" w:hAnsi="仿宋_GB2312" w:cs="仿宋_GB2312"/>
          <w:color w:val="auto"/>
          <w:lang w:val="en-US" w:eastAsia="zh-CN"/>
        </w:rPr>
        <w:t>、服务项目、收费标准</w:t>
      </w:r>
      <w:r>
        <w:rPr>
          <w:rFonts w:ascii="仿宋_GB2312" w:hAnsi="仿宋_GB2312" w:cs="仿宋_GB2312"/>
          <w:color w:val="auto"/>
          <w:lang w:val="en-US" w:eastAsia="zh-CN"/>
        </w:rPr>
        <w:t>全部</w:t>
      </w:r>
      <w:r>
        <w:rPr>
          <w:rFonts w:ascii="仿宋_GB2312" w:hAnsi="仿宋_GB2312" w:cs="仿宋_GB2312"/>
          <w:color w:val="auto"/>
          <w:u w:val="none"/>
          <w:lang w:val="en-US" w:eastAsia="zh-CN"/>
        </w:rPr>
        <w:t>向社会公开公示，</w:t>
      </w:r>
      <w:r>
        <w:rPr>
          <w:rFonts w:ascii="仿宋_GB2312" w:hAnsi="仿宋_GB2312" w:cs="仿宋_GB2312"/>
          <w:color w:val="auto"/>
          <w:lang w:val="en-US" w:eastAsia="zh-CN"/>
        </w:rPr>
        <w:t>让所有符合条件的机构公平竞争，为学校、学生提供最优的服务。</w:t>
      </w:r>
      <w:r>
        <w:rPr>
          <w:rFonts w:hint="eastAsia" w:ascii="仿宋_GB2312" w:hAnsi="仿宋_GB2312" w:cs="仿宋_GB2312"/>
          <w:color w:val="auto"/>
          <w:lang w:val="en-US" w:eastAsia="zh-CN"/>
        </w:rPr>
        <w:t>坚持家长、学生自愿参加，</w:t>
      </w:r>
      <w:r>
        <w:rPr>
          <w:rFonts w:ascii="仿宋_GB2312" w:hAnsi="仿宋_GB2312" w:cs="仿宋_GB2312"/>
          <w:color w:val="auto"/>
          <w:lang w:val="en-US" w:eastAsia="zh-CN"/>
        </w:rPr>
        <w:t>禁止强制或变相强制学生参与服务。</w:t>
      </w:r>
    </w:p>
    <w:p w14:paraId="65456331">
      <w:pPr>
        <w:ind w:firstLine="640" w:firstLineChars="200"/>
        <w:rPr>
          <w:rFonts w:hint="eastAsia" w:ascii="黑体" w:hAnsi="黑体" w:eastAsia="黑体" w:cs="黑体"/>
          <w:color w:val="auto"/>
        </w:rPr>
      </w:pPr>
      <w:r>
        <w:rPr>
          <w:rFonts w:hint="eastAsia" w:ascii="黑体" w:hAnsi="黑体" w:eastAsia="黑体" w:cs="黑体"/>
          <w:color w:val="auto"/>
        </w:rPr>
        <w:t>三、遴选要求</w:t>
      </w:r>
    </w:p>
    <w:p w14:paraId="49ED6806">
      <w:pPr>
        <w:ind w:firstLine="640" w:firstLineChars="200"/>
        <w:rPr>
          <w:rFonts w:hint="eastAsia" w:ascii="楷体_GB2312" w:hAnsi="楷体_GB2312" w:eastAsia="楷体_GB2312" w:cs="楷体_GB2312"/>
          <w:b w:val="0"/>
          <w:bCs w:val="0"/>
          <w:color w:val="auto"/>
        </w:rPr>
      </w:pPr>
      <w:r>
        <w:rPr>
          <w:rFonts w:hint="eastAsia" w:ascii="楷体_GB2312" w:hAnsi="楷体_GB2312" w:eastAsia="楷体_GB2312" w:cs="楷体_GB2312"/>
          <w:b w:val="0"/>
          <w:bCs w:val="0"/>
          <w:color w:val="auto"/>
        </w:rPr>
        <w:t>（一）资质要求</w:t>
      </w:r>
    </w:p>
    <w:p w14:paraId="27C27724">
      <w:pPr>
        <w:ind w:firstLine="640" w:firstLineChars="200"/>
        <w:rPr>
          <w:rFonts w:hint="eastAsia" w:ascii="仿宋_GB2312" w:hAnsi="仿宋_GB2312" w:cs="仿宋_GB2312"/>
          <w:color w:val="auto"/>
        </w:rPr>
      </w:pPr>
      <w:r>
        <w:rPr>
          <w:rFonts w:hint="eastAsia" w:ascii="仿宋_GB2312" w:hAnsi="仿宋_GB2312" w:cs="仿宋_GB2312"/>
          <w:color w:val="auto"/>
        </w:rPr>
        <w:t>校外培训机构须</w:t>
      </w:r>
      <w:r>
        <w:rPr>
          <w:rFonts w:hint="eastAsia" w:ascii="仿宋_GB2312" w:hAnsi="仿宋_GB2312" w:cs="仿宋_GB2312"/>
          <w:color w:val="auto"/>
          <w:lang w:eastAsia="zh-CN"/>
        </w:rPr>
        <w:t>具有所在县市区</w:t>
      </w:r>
      <w:r>
        <w:rPr>
          <w:rFonts w:hint="eastAsia" w:ascii="仿宋_GB2312" w:hAnsi="仿宋_GB2312" w:cs="仿宋_GB2312"/>
          <w:color w:val="auto"/>
        </w:rPr>
        <w:t>相关部门核发的办学许可证、工商营业执照或民办非企业单位登记证</w:t>
      </w:r>
      <w:r>
        <w:rPr>
          <w:rFonts w:hint="eastAsia" w:ascii="仿宋_GB2312" w:hAnsi="仿宋_GB2312" w:cs="仿宋_GB2312"/>
          <w:color w:val="auto"/>
          <w:lang w:eastAsia="zh-CN"/>
        </w:rPr>
        <w:t>等</w:t>
      </w:r>
      <w:r>
        <w:rPr>
          <w:rFonts w:hint="eastAsia" w:ascii="仿宋_GB2312" w:hAnsi="仿宋_GB2312" w:cs="仿宋_GB2312"/>
          <w:color w:val="auto"/>
        </w:rPr>
        <w:t>办学资质证照，具备进入</w:t>
      </w:r>
      <w:r>
        <w:rPr>
          <w:rFonts w:hint="eastAsia" w:ascii="仿宋_GB2312" w:hAnsi="仿宋_GB2312" w:cs="仿宋_GB2312"/>
          <w:color w:val="auto"/>
          <w:lang w:eastAsia="zh-CN"/>
        </w:rPr>
        <w:t>中小</w:t>
      </w:r>
      <w:r>
        <w:rPr>
          <w:rFonts w:hint="eastAsia" w:ascii="仿宋_GB2312" w:hAnsi="仿宋_GB2312" w:cs="仿宋_GB2312"/>
          <w:color w:val="auto"/>
        </w:rPr>
        <w:t>学校提供课后服务所需的设施、人员和专业技术能力。内部治理结构健全，财务会计和资产管理制度完备。</w:t>
      </w:r>
    </w:p>
    <w:p w14:paraId="562CE4A1">
      <w:pPr>
        <w:ind w:firstLine="64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（二）课程要求</w:t>
      </w:r>
    </w:p>
    <w:p w14:paraId="09E6C764">
      <w:pPr>
        <w:ind w:firstLine="640" w:firstLineChars="200"/>
        <w:rPr>
          <w:rFonts w:ascii="仿宋_GB2312" w:hAnsi="仿宋_GB2312" w:cs="仿宋_GB2312"/>
          <w:color w:val="auto"/>
          <w:u w:val="none"/>
        </w:rPr>
      </w:pPr>
      <w:r>
        <w:rPr>
          <w:rFonts w:hint="eastAsia" w:ascii="仿宋_GB2312" w:hAnsi="仿宋_GB2312" w:cs="仿宋_GB2312"/>
          <w:color w:val="auto"/>
        </w:rPr>
        <w:t>培训课程属于非学科类培训项目。课程内容有特色，编写和使用的培训材料应符合教育部办公厅印发的《中小学生校外培训机构材料管理办法（试行）》的要求，</w:t>
      </w:r>
      <w:r>
        <w:rPr>
          <w:rFonts w:hint="eastAsia" w:ascii="仿宋_GB2312" w:hAnsi="仿宋_GB2312" w:cs="仿宋_GB2312"/>
          <w:color w:val="auto"/>
          <w:u w:val="none"/>
        </w:rPr>
        <w:t>并经</w:t>
      </w:r>
      <w:r>
        <w:rPr>
          <w:rFonts w:hint="eastAsia" w:ascii="仿宋_GB2312" w:hAnsi="仿宋_GB2312" w:cs="仿宋_GB2312"/>
          <w:color w:val="auto"/>
          <w:u w:val="none"/>
          <w:lang w:val="en-US" w:eastAsia="zh-CN"/>
        </w:rPr>
        <w:t>教育部门</w:t>
      </w:r>
      <w:r>
        <w:rPr>
          <w:rFonts w:hint="eastAsia" w:ascii="仿宋_GB2312" w:hAnsi="仿宋_GB2312" w:cs="仿宋_GB2312"/>
          <w:color w:val="auto"/>
          <w:u w:val="none"/>
        </w:rPr>
        <w:t>审核备案。</w:t>
      </w:r>
    </w:p>
    <w:p w14:paraId="4D3DEEC2">
      <w:pPr>
        <w:ind w:firstLine="64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（三）师资要求</w:t>
      </w:r>
    </w:p>
    <w:p w14:paraId="76373B20">
      <w:pPr>
        <w:ind w:firstLine="640" w:firstLineChars="200"/>
        <w:rPr>
          <w:rFonts w:ascii="仿宋_GB2312" w:hAnsi="仿宋_GB2312" w:cs="仿宋_GB2312"/>
          <w:color w:val="auto"/>
          <w:u w:val="none"/>
        </w:rPr>
      </w:pPr>
      <w:r>
        <w:rPr>
          <w:rFonts w:hint="eastAsia" w:ascii="仿宋_GB2312" w:hAnsi="仿宋_GB2312" w:cs="仿宋_GB2312"/>
          <w:color w:val="auto"/>
        </w:rPr>
        <w:t>校外培训机构</w:t>
      </w:r>
      <w:r>
        <w:rPr>
          <w:rFonts w:hint="eastAsia" w:ascii="仿宋_GB2312" w:hAnsi="仿宋_GB2312" w:cs="仿宋_GB2312"/>
          <w:color w:val="auto"/>
          <w:lang w:eastAsia="zh-CN"/>
        </w:rPr>
        <w:t>教师</w:t>
      </w:r>
      <w:r>
        <w:rPr>
          <w:rFonts w:hint="eastAsia" w:ascii="仿宋_GB2312" w:hAnsi="仿宋_GB2312" w:cs="仿宋_GB2312"/>
          <w:color w:val="auto"/>
        </w:rPr>
        <w:t>须具有进校组织、开展课程教育活动相应专业技术能力，具备相应的</w:t>
      </w:r>
      <w:r>
        <w:rPr>
          <w:rFonts w:hint="eastAsia" w:ascii="仿宋_GB2312" w:hAnsi="仿宋_GB2312" w:cs="仿宋_GB2312"/>
          <w:color w:val="auto"/>
          <w:lang w:eastAsia="zh-CN"/>
        </w:rPr>
        <w:t>教师资格证和</w:t>
      </w:r>
      <w:r>
        <w:rPr>
          <w:rFonts w:hint="eastAsia" w:ascii="仿宋_GB2312" w:hAnsi="仿宋_GB2312" w:cs="仿宋_GB2312"/>
          <w:color w:val="auto"/>
        </w:rPr>
        <w:t>职业（专业）能力证明</w:t>
      </w:r>
      <w:r>
        <w:rPr>
          <w:rFonts w:hint="eastAsia" w:ascii="仿宋_GB2312" w:hAnsi="仿宋_GB2312" w:cs="仿宋_GB2312"/>
          <w:color w:val="auto"/>
          <w:lang w:eastAsia="zh-CN"/>
        </w:rPr>
        <w:t>；</w:t>
      </w:r>
      <w:r>
        <w:rPr>
          <w:rFonts w:hint="eastAsia" w:ascii="仿宋_GB2312" w:hAnsi="仿宋_GB2312" w:cs="仿宋_GB2312"/>
          <w:color w:val="auto"/>
        </w:rPr>
        <w:t>品行端正，符合《新时代中小学教师职业行为十项准则》的要求；无违法</w:t>
      </w:r>
      <w:r>
        <w:rPr>
          <w:rFonts w:hint="eastAsia" w:ascii="仿宋_GB2312" w:hAnsi="仿宋_GB2312" w:cs="仿宋_GB2312"/>
          <w:color w:val="auto"/>
          <w:lang w:eastAsia="zh-CN"/>
        </w:rPr>
        <w:t>犯罪</w:t>
      </w:r>
      <w:r>
        <w:rPr>
          <w:rFonts w:hint="eastAsia" w:ascii="仿宋_GB2312" w:hAnsi="仿宋_GB2312" w:cs="仿宋_GB2312"/>
          <w:color w:val="auto"/>
        </w:rPr>
        <w:t>记录</w:t>
      </w:r>
      <w:r>
        <w:rPr>
          <w:rFonts w:hint="eastAsia" w:ascii="仿宋_GB2312" w:hAnsi="仿宋_GB2312" w:cs="仿宋_GB2312"/>
          <w:color w:val="auto"/>
          <w:lang w:eastAsia="zh-CN"/>
        </w:rPr>
        <w:t>；</w:t>
      </w:r>
      <w:r>
        <w:rPr>
          <w:rFonts w:hint="eastAsia" w:ascii="仿宋_GB2312" w:hAnsi="仿宋_GB2312" w:cs="仿宋_GB2312"/>
          <w:color w:val="auto"/>
        </w:rPr>
        <w:t>具备组织、开展课程教育活动的身体条件，无传染性疾病。</w:t>
      </w:r>
    </w:p>
    <w:p w14:paraId="0B67E78B">
      <w:pPr>
        <w:ind w:firstLine="64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（四）信誉要求</w:t>
      </w:r>
    </w:p>
    <w:p w14:paraId="3E7191DC">
      <w:pPr>
        <w:ind w:firstLine="640" w:firstLineChars="200"/>
        <w:rPr>
          <w:rFonts w:hint="eastAsia" w:ascii="仿宋_GB2312" w:hAnsi="仿宋_GB2312" w:eastAsia="仿宋_GB2312" w:cs="仿宋_GB2312"/>
          <w:color w:val="auto"/>
          <w:u w:val="single"/>
          <w:lang w:eastAsia="zh-CN"/>
        </w:rPr>
      </w:pPr>
      <w:r>
        <w:rPr>
          <w:rFonts w:hint="eastAsia" w:ascii="仿宋_GB2312" w:hAnsi="仿宋_GB2312" w:cs="仿宋_GB2312"/>
          <w:color w:val="auto"/>
          <w:u w:val="none"/>
        </w:rPr>
        <w:t>校外</w:t>
      </w:r>
      <w:r>
        <w:rPr>
          <w:rFonts w:hint="eastAsia" w:ascii="仿宋_GB2312" w:hAnsi="仿宋_GB2312" w:cs="仿宋_GB2312"/>
          <w:color w:val="auto"/>
          <w:u w:val="none"/>
          <w:lang w:val="en-US" w:eastAsia="zh-CN"/>
        </w:rPr>
        <w:t>教育</w:t>
      </w:r>
      <w:r>
        <w:rPr>
          <w:rFonts w:hint="eastAsia" w:ascii="仿宋_GB2312" w:hAnsi="仿宋_GB2312" w:cs="仿宋_GB2312"/>
          <w:color w:val="auto"/>
          <w:u w:val="none"/>
        </w:rPr>
        <w:t>培训机构</w:t>
      </w:r>
      <w:r>
        <w:rPr>
          <w:rFonts w:hint="eastAsia" w:ascii="仿宋_GB2312" w:hAnsi="仿宋_GB2312" w:cs="仿宋_GB2312"/>
          <w:color w:val="auto"/>
          <w:u w:val="none"/>
          <w:lang w:eastAsia="zh-CN"/>
        </w:rPr>
        <w:t>必须</w:t>
      </w:r>
      <w:r>
        <w:rPr>
          <w:rFonts w:hint="eastAsia" w:ascii="仿宋_GB2312" w:hAnsi="仿宋_GB2312" w:eastAsia="仿宋_GB2312" w:cs="仿宋_GB2312"/>
          <w:u w:val="none"/>
          <w:lang w:val="en-US" w:eastAsia="zh-CN"/>
        </w:rPr>
        <w:t>纳入全国校外教育培训监管与服务综合平台</w:t>
      </w:r>
      <w:r>
        <w:rPr>
          <w:rFonts w:hint="eastAsia" w:ascii="仿宋_GB2312" w:hAnsi="仿宋_GB2312" w:cs="仿宋_GB2312"/>
          <w:color w:val="auto"/>
          <w:u w:val="none"/>
          <w:lang w:eastAsia="zh-CN"/>
        </w:rPr>
        <w:t>，</w:t>
      </w:r>
      <w:r>
        <w:rPr>
          <w:rFonts w:hint="eastAsia" w:ascii="仿宋_GB2312" w:hAnsi="仿宋_GB2312" w:cs="仿宋_GB2312"/>
          <w:color w:val="auto"/>
        </w:rPr>
        <w:t>有稳定办学资金，无违规使用资金、抽逃资金、拖欠教职工工资等情形</w:t>
      </w:r>
      <w:r>
        <w:rPr>
          <w:rFonts w:hint="eastAsia" w:ascii="仿宋_GB2312" w:hAnsi="仿宋_GB2312" w:cs="仿宋_GB2312"/>
          <w:color w:val="auto"/>
          <w:lang w:eastAsia="zh-CN"/>
        </w:rPr>
        <w:t>；</w:t>
      </w:r>
      <w:r>
        <w:rPr>
          <w:rFonts w:hint="eastAsia" w:ascii="仿宋_GB2312" w:hAnsi="仿宋_GB2312" w:cs="仿宋_GB2312"/>
          <w:color w:val="auto"/>
        </w:rPr>
        <w:t>规范办学，无被举报违规办学（经查证属实的）、受到教育行政主管部门或相关部门行政处罚或通报批评的情形</w:t>
      </w:r>
      <w:r>
        <w:rPr>
          <w:rFonts w:hint="eastAsia" w:ascii="仿宋_GB2312" w:hAnsi="仿宋_GB2312" w:cs="仿宋_GB2312"/>
          <w:color w:val="auto"/>
          <w:lang w:eastAsia="zh-CN"/>
        </w:rPr>
        <w:t>；</w:t>
      </w:r>
      <w:r>
        <w:rPr>
          <w:rFonts w:hint="eastAsia" w:ascii="仿宋_GB2312" w:hAnsi="仿宋_GB2312" w:cs="仿宋_GB2312"/>
          <w:color w:val="auto"/>
        </w:rPr>
        <w:t>社会信誉良好，在学生、家长、社会中满意度较高</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目前</w:t>
      </w:r>
      <w:r>
        <w:rPr>
          <w:rFonts w:hint="eastAsia" w:ascii="仿宋_GB2312" w:hAnsi="仿宋_GB2312" w:cs="仿宋_GB2312"/>
          <w:color w:val="auto"/>
          <w:u w:val="none"/>
        </w:rPr>
        <w:t>未被列入企业经营异常名录</w:t>
      </w:r>
      <w:r>
        <w:rPr>
          <w:rFonts w:hint="eastAsia" w:ascii="仿宋_GB2312" w:hAnsi="仿宋_GB2312" w:cs="仿宋_GB2312"/>
          <w:color w:val="auto"/>
          <w:u w:val="none"/>
          <w:lang w:eastAsia="zh-CN"/>
        </w:rPr>
        <w:t>、</w:t>
      </w:r>
      <w:r>
        <w:rPr>
          <w:rFonts w:hint="eastAsia" w:ascii="仿宋_GB2312" w:hAnsi="仿宋_GB2312" w:cs="仿宋_GB2312"/>
          <w:color w:val="auto"/>
          <w:u w:val="none"/>
        </w:rPr>
        <w:t>严重违法失信企业名单</w:t>
      </w:r>
      <w:r>
        <w:rPr>
          <w:rFonts w:hint="eastAsia" w:ascii="仿宋_GB2312" w:hAnsi="仿宋_GB2312" w:cs="仿宋_GB2312"/>
          <w:color w:val="auto"/>
          <w:u w:val="none"/>
          <w:lang w:eastAsia="zh-CN"/>
        </w:rPr>
        <w:t>、办学“黑名单”</w:t>
      </w:r>
      <w:r>
        <w:rPr>
          <w:rFonts w:hint="eastAsia" w:ascii="仿宋_GB2312" w:hAnsi="仿宋_GB2312" w:cs="仿宋_GB2312"/>
          <w:color w:val="auto"/>
          <w:u w:val="none"/>
          <w:lang w:val="en-US" w:eastAsia="zh-CN"/>
        </w:rPr>
        <w:t>或</w:t>
      </w:r>
      <w:r>
        <w:rPr>
          <w:rFonts w:hint="eastAsia" w:ascii="仿宋_GB2312" w:hAnsi="仿宋_GB2312" w:cs="仿宋_GB2312"/>
          <w:u w:val="none"/>
          <w:lang w:val="en-US" w:eastAsia="zh-CN"/>
        </w:rPr>
        <w:t>泰安</w:t>
      </w:r>
      <w:r>
        <w:rPr>
          <w:rFonts w:hint="eastAsia" w:ascii="仿宋_GB2312" w:hAnsi="仿宋_GB2312" w:eastAsia="仿宋_GB2312" w:cs="仿宋_GB2312"/>
          <w:u w:val="none"/>
          <w:lang w:val="en-US" w:eastAsia="zh-CN"/>
        </w:rPr>
        <w:t>市校外培训机构预收费监管“绿黄红”三色名单红牌机构</w:t>
      </w:r>
      <w:r>
        <w:rPr>
          <w:rFonts w:hint="eastAsia" w:ascii="仿宋_GB2312" w:hAnsi="仿宋_GB2312" w:cs="仿宋_GB2312"/>
          <w:color w:val="auto"/>
          <w:u w:val="none"/>
        </w:rPr>
        <w:t>。</w:t>
      </w:r>
    </w:p>
    <w:p w14:paraId="03F0EF91">
      <w:pPr>
        <w:ind w:firstLine="640" w:firstLineChars="200"/>
        <w:rPr>
          <w:rFonts w:hint="eastAsia" w:ascii="楷体_GB2312" w:hAnsi="楷体_GB2312" w:eastAsia="楷体_GB2312" w:cs="楷体_GB2312"/>
          <w:color w:val="C00000"/>
          <w:lang w:eastAsia="zh-CN"/>
        </w:rPr>
      </w:pPr>
      <w:r>
        <w:rPr>
          <w:rFonts w:hint="eastAsia" w:ascii="楷体_GB2312" w:hAnsi="楷体_GB2312" w:eastAsia="楷体_GB2312" w:cs="楷体_GB2312"/>
          <w:color w:val="auto"/>
        </w:rPr>
        <w:t>（五）资金监管要求</w:t>
      </w:r>
    </w:p>
    <w:p w14:paraId="12DAA7FB">
      <w:pPr>
        <w:ind w:firstLine="640" w:firstLineChars="200"/>
        <w:rPr>
          <w:rFonts w:hint="eastAsia" w:ascii="仿宋_GB2312" w:hAnsi="仿宋_GB2312" w:cs="仿宋_GB2312"/>
          <w:color w:val="auto"/>
          <w:lang w:val="en-US" w:eastAsia="zh-CN"/>
        </w:rPr>
      </w:pPr>
      <w:r>
        <w:rPr>
          <w:rFonts w:hint="eastAsia" w:ascii="仿宋_GB2312" w:hAnsi="仿宋_GB2312" w:cs="仿宋_GB2312"/>
          <w:color w:val="auto"/>
          <w:lang w:eastAsia="zh-CN"/>
        </w:rPr>
        <w:t>符合泰安市教育局关于资金监管的要求，</w:t>
      </w:r>
      <w:r>
        <w:rPr>
          <w:rFonts w:hint="eastAsia" w:ascii="仿宋_GB2312" w:hAnsi="仿宋_GB2312" w:cs="仿宋_GB2312"/>
          <w:strike w:val="0"/>
          <w:dstrike w:val="0"/>
          <w:color w:val="auto"/>
          <w:lang w:eastAsia="zh-CN"/>
        </w:rPr>
        <w:t>账户风险保证金不低于</w:t>
      </w:r>
      <w:r>
        <w:rPr>
          <w:rFonts w:hint="eastAsia" w:ascii="仿宋_GB2312" w:hAnsi="仿宋_GB2312" w:cs="仿宋_GB2312"/>
          <w:strike w:val="0"/>
          <w:dstrike w:val="0"/>
          <w:color w:val="auto"/>
          <w:lang w:val="en-US" w:eastAsia="zh-CN"/>
        </w:rPr>
        <w:t>3</w:t>
      </w:r>
      <w:r>
        <w:rPr>
          <w:rFonts w:hint="eastAsia" w:ascii="仿宋_GB2312" w:hAnsi="仿宋_GB2312" w:cs="仿宋_GB2312"/>
          <w:strike w:val="0"/>
          <w:dstrike w:val="0"/>
          <w:color w:val="auto"/>
          <w:lang w:eastAsia="zh-CN"/>
        </w:rPr>
        <w:t>万元</w:t>
      </w:r>
      <w:r>
        <w:rPr>
          <w:rFonts w:hint="eastAsia" w:ascii="仿宋_GB2312" w:hAnsi="仿宋_GB2312" w:cs="仿宋_GB2312"/>
          <w:color w:val="auto"/>
          <w:lang w:eastAsia="zh-CN"/>
        </w:rPr>
        <w:t>（</w:t>
      </w:r>
      <w:r>
        <w:rPr>
          <w:rFonts w:hint="eastAsia"/>
          <w:lang w:val="en-US" w:eastAsia="zh-CN"/>
        </w:rPr>
        <w:t>资金托管专用账户，质押资金不低于3万元</w:t>
      </w:r>
      <w:r>
        <w:rPr>
          <w:rFonts w:hint="eastAsia" w:ascii="仿宋_GB2312" w:hAnsi="仿宋_GB2312" w:cs="仿宋_GB2312"/>
          <w:color w:val="auto"/>
          <w:lang w:eastAsia="zh-CN"/>
        </w:rPr>
        <w:t>）；</w:t>
      </w:r>
      <w:r>
        <w:rPr>
          <w:rFonts w:hint="eastAsia" w:ascii="仿宋_GB2312" w:hAnsi="仿宋_GB2312" w:cs="仿宋_GB2312"/>
          <w:color w:val="auto"/>
          <w:u w:val="none"/>
          <w:lang w:val="en-US" w:eastAsia="zh-CN"/>
        </w:rPr>
        <w:t>使用《中小学校外培训服务合同（示范文本）》，严格遵循校外培训机构收费有关规定；</w:t>
      </w:r>
      <w:r>
        <w:rPr>
          <w:rFonts w:hint="eastAsia" w:ascii="仿宋_GB2312" w:hAnsi="仿宋_GB2312" w:cs="仿宋_GB2312"/>
          <w:color w:val="auto"/>
          <w:lang w:eastAsia="zh-CN"/>
        </w:rPr>
        <w:t>全面施行预收费银行托管，落实全流程监管要求，按照培训机构预收费</w:t>
      </w:r>
      <w:r>
        <w:rPr>
          <w:rFonts w:hint="eastAsia" w:ascii="仿宋_GB2312" w:hAnsi="仿宋_GB2312" w:cs="仿宋_GB2312"/>
          <w:color w:val="auto"/>
          <w:u w:val="none"/>
          <w:lang w:eastAsia="zh-CN"/>
        </w:rPr>
        <w:t>“</w:t>
      </w:r>
      <w:r>
        <w:rPr>
          <w:rFonts w:hint="eastAsia" w:ascii="仿宋_GB2312" w:hAnsi="仿宋_GB2312" w:eastAsia="仿宋_GB2312" w:cs="仿宋_GB2312"/>
          <w:u w:val="none"/>
          <w:lang w:val="en-US" w:eastAsia="zh-CN"/>
        </w:rPr>
        <w:t>绿黄红</w:t>
      </w:r>
      <w:r>
        <w:rPr>
          <w:rFonts w:hint="eastAsia" w:ascii="仿宋_GB2312" w:hAnsi="仿宋_GB2312" w:cs="仿宋_GB2312"/>
          <w:color w:val="auto"/>
          <w:u w:val="none"/>
          <w:lang w:eastAsia="zh-CN"/>
        </w:rPr>
        <w:t>”</w:t>
      </w:r>
      <w:r>
        <w:rPr>
          <w:rFonts w:hint="eastAsia" w:ascii="仿宋_GB2312" w:hAnsi="仿宋_GB2312" w:cs="仿宋_GB2312"/>
          <w:color w:val="auto"/>
          <w:lang w:eastAsia="zh-CN"/>
        </w:rPr>
        <w:t>三色监管要求，</w:t>
      </w:r>
      <w:r>
        <w:rPr>
          <w:rFonts w:hint="eastAsia" w:ascii="仿宋_GB2312" w:hAnsi="仿宋_GB2312" w:cs="仿宋_GB2312"/>
          <w:color w:val="auto"/>
          <w:lang w:val="en-US" w:eastAsia="zh-CN"/>
        </w:rPr>
        <w:t>评分结果为绿牌的校外培训机构。</w:t>
      </w:r>
    </w:p>
    <w:p w14:paraId="6FA66B50">
      <w:pPr>
        <w:ind w:firstLine="640" w:firstLineChars="200"/>
        <w:rPr>
          <w:rFonts w:hint="eastAsia" w:ascii="楷体_GB2312" w:hAnsi="楷体_GB2312" w:eastAsia="楷体_GB2312" w:cs="楷体_GB2312"/>
          <w:color w:val="auto"/>
        </w:rPr>
      </w:pPr>
      <w:r>
        <w:rPr>
          <w:rFonts w:hint="eastAsia" w:ascii="楷体_GB2312" w:hAnsi="楷体_GB2312" w:eastAsia="楷体_GB2312" w:cs="楷体_GB2312"/>
          <w:color w:val="auto"/>
        </w:rPr>
        <w:t>（六）安全要求</w:t>
      </w:r>
    </w:p>
    <w:p w14:paraId="2E9A2521">
      <w:pPr>
        <w:ind w:firstLine="640" w:firstLineChars="200"/>
        <w:rPr>
          <w:rFonts w:hint="eastAsia" w:ascii="仿宋_GB2312" w:hAnsi="仿宋_GB2312" w:eastAsia="仿宋_GB2312" w:cs="仿宋_GB2312"/>
          <w:color w:val="auto"/>
          <w:lang w:eastAsia="zh-CN"/>
        </w:rPr>
      </w:pPr>
      <w:r>
        <w:rPr>
          <w:rFonts w:hint="eastAsia" w:ascii="仿宋_GB2312" w:hAnsi="仿宋_GB2312" w:cs="仿宋_GB2312"/>
          <w:color w:val="auto"/>
        </w:rPr>
        <w:t>遵守国家中小学生安全防范相关规定</w:t>
      </w:r>
      <w:r>
        <w:rPr>
          <w:rFonts w:hint="eastAsia" w:ascii="仿宋_GB2312" w:hAnsi="仿宋_GB2312" w:cs="仿宋_GB2312"/>
          <w:color w:val="auto"/>
          <w:lang w:eastAsia="zh-CN"/>
        </w:rPr>
        <w:t>，达到安全生产规范要求；</w:t>
      </w:r>
      <w:r>
        <w:rPr>
          <w:rFonts w:hint="eastAsia" w:ascii="仿宋_GB2312" w:hAnsi="仿宋_GB2312" w:cs="仿宋_GB2312"/>
          <w:color w:val="auto"/>
        </w:rPr>
        <w:t>具备安全保障能力，切实保障学生人身安全</w:t>
      </w:r>
      <w:r>
        <w:rPr>
          <w:rFonts w:hint="eastAsia" w:ascii="仿宋_GB2312" w:hAnsi="仿宋_GB2312" w:cs="仿宋_GB2312"/>
          <w:color w:val="auto"/>
          <w:lang w:eastAsia="zh-CN"/>
        </w:rPr>
        <w:t>；</w:t>
      </w:r>
      <w:r>
        <w:rPr>
          <w:rFonts w:hint="eastAsia" w:ascii="仿宋_GB2312" w:hAnsi="仿宋_GB2312" w:cs="仿宋_GB2312"/>
          <w:color w:val="auto"/>
        </w:rPr>
        <w:t>做好在校园内开展课后服务的课程安全、设施设备安全、卫生防疫安全等工作</w:t>
      </w:r>
      <w:r>
        <w:rPr>
          <w:rFonts w:hint="eastAsia" w:ascii="仿宋_GB2312" w:hAnsi="仿宋_GB2312" w:cs="仿宋_GB2312"/>
          <w:color w:val="auto"/>
          <w:lang w:eastAsia="zh-CN"/>
        </w:rPr>
        <w:t>；</w:t>
      </w:r>
      <w:r>
        <w:rPr>
          <w:rFonts w:hint="eastAsia" w:ascii="仿宋_GB2312" w:hAnsi="仿宋_GB2312" w:cs="仿宋_GB2312"/>
          <w:color w:val="auto"/>
        </w:rPr>
        <w:t>入校服务第三方人员，应由所属第三方机构购买人身意外保险。</w:t>
      </w:r>
    </w:p>
    <w:p w14:paraId="020EFB4C">
      <w:pPr>
        <w:ind w:firstLine="480" w:firstLineChars="150"/>
        <w:rPr>
          <w:rFonts w:hint="eastAsia" w:ascii="CESI黑体-GB2312" w:hAnsi="CESI黑体-GB2312" w:eastAsia="CESI黑体-GB2312" w:cs="CESI黑体-GB2312"/>
          <w:color w:val="auto"/>
        </w:rPr>
      </w:pPr>
      <w:r>
        <w:rPr>
          <w:rFonts w:hint="eastAsia" w:ascii="CESI黑体-GB2312" w:hAnsi="CESI黑体-GB2312" w:eastAsia="CESI黑体-GB2312" w:cs="CESI黑体-GB2312"/>
          <w:color w:val="auto"/>
          <w:lang w:eastAsia="zh-CN"/>
        </w:rPr>
        <w:t>四</w:t>
      </w:r>
      <w:r>
        <w:rPr>
          <w:rFonts w:hint="eastAsia" w:ascii="CESI黑体-GB2312" w:hAnsi="CESI黑体-GB2312" w:eastAsia="CESI黑体-GB2312" w:cs="CESI黑体-GB2312"/>
          <w:color w:val="auto"/>
        </w:rPr>
        <w:t>、遴选程序</w:t>
      </w:r>
    </w:p>
    <w:p w14:paraId="50094B7D">
      <w:pPr>
        <w:ind w:firstLine="480" w:firstLineChars="150"/>
        <w:rPr>
          <w:rFonts w:hint="eastAsia" w:ascii="楷体_GB2312" w:hAnsi="楷体_GB2312" w:eastAsia="楷体_GB2312" w:cs="楷体_GB2312"/>
          <w:color w:val="auto"/>
        </w:rPr>
      </w:pPr>
      <w:r>
        <w:rPr>
          <w:rFonts w:hint="eastAsia" w:ascii="楷体_GB2312" w:hAnsi="楷体_GB2312" w:eastAsia="楷体_GB2312" w:cs="楷体_GB2312"/>
          <w:color w:val="auto"/>
        </w:rPr>
        <w:t>（一）自主申报</w:t>
      </w:r>
    </w:p>
    <w:p w14:paraId="1D913CAC">
      <w:pPr>
        <w:ind w:firstLine="640" w:firstLineChars="200"/>
        <w:rPr>
          <w:rFonts w:hint="eastAsia" w:ascii="仿宋_GB2312" w:hAnsi="仿宋_GB2312" w:cs="仿宋_GB2312"/>
          <w:color w:val="auto"/>
        </w:rPr>
      </w:pPr>
      <w:r>
        <w:rPr>
          <w:rFonts w:hint="eastAsia" w:ascii="仿宋_GB2312" w:hAnsi="仿宋_GB2312" w:cs="仿宋_GB2312"/>
          <w:color w:val="auto"/>
        </w:rPr>
        <w:t>申报机构对照</w:t>
      </w:r>
      <w:r>
        <w:rPr>
          <w:rFonts w:hint="eastAsia" w:ascii="仿宋_GB2312" w:hAnsi="仿宋_GB2312" w:cs="仿宋_GB2312"/>
          <w:color w:val="auto"/>
          <w:lang w:eastAsia="zh-CN"/>
        </w:rPr>
        <w:t>遴选</w:t>
      </w:r>
      <w:r>
        <w:rPr>
          <w:rFonts w:hint="eastAsia" w:ascii="仿宋_GB2312" w:hAnsi="仿宋_GB2312" w:cs="仿宋_GB2312"/>
          <w:color w:val="auto"/>
        </w:rPr>
        <w:t>要求，准备申报材料，</w:t>
      </w:r>
      <w:r>
        <w:rPr>
          <w:rFonts w:hint="eastAsia" w:ascii="仿宋_GB2312" w:hAnsi="仿宋_GB2312" w:cs="仿宋_GB2312"/>
          <w:color w:val="auto"/>
          <w:lang w:eastAsia="zh-CN"/>
        </w:rPr>
        <w:t>填写</w:t>
      </w:r>
      <w:r>
        <w:rPr>
          <w:rFonts w:hint="eastAsia" w:ascii="仿宋_GB2312" w:hAnsi="仿宋_GB2312" w:cs="仿宋_GB2312"/>
          <w:color w:val="auto"/>
        </w:rPr>
        <w:t>《</w:t>
      </w:r>
      <w:r>
        <w:rPr>
          <w:rFonts w:hint="eastAsia" w:ascii="仿宋_GB2312" w:hAnsi="仿宋_GB2312" w:cs="仿宋_GB2312"/>
          <w:color w:val="auto"/>
          <w:lang w:eastAsia="zh-CN"/>
        </w:rPr>
        <w:t>泰安市非学科类</w:t>
      </w:r>
      <w:r>
        <w:rPr>
          <w:rFonts w:hint="eastAsia" w:ascii="仿宋_GB2312" w:hAnsi="仿宋_GB2312" w:cs="仿宋_GB2312"/>
          <w:color w:val="auto"/>
        </w:rPr>
        <w:t>校外</w:t>
      </w:r>
      <w:r>
        <w:rPr>
          <w:rFonts w:hint="eastAsia" w:ascii="仿宋_GB2312" w:hAnsi="仿宋_GB2312" w:cs="仿宋_GB2312"/>
          <w:color w:val="auto"/>
          <w:lang w:eastAsia="zh-CN"/>
        </w:rPr>
        <w:t>教育</w:t>
      </w:r>
      <w:r>
        <w:rPr>
          <w:rFonts w:hint="eastAsia" w:ascii="仿宋_GB2312" w:hAnsi="仿宋_GB2312" w:cs="仿宋_GB2312"/>
          <w:color w:val="auto"/>
        </w:rPr>
        <w:t>培训机构参与课后服务申请表》</w:t>
      </w:r>
      <w:r>
        <w:rPr>
          <w:rFonts w:hint="eastAsia" w:ascii="仿宋_GB2312" w:hAnsi="仿宋_GB2312" w:cs="仿宋_GB2312"/>
          <w:color w:val="auto"/>
          <w:lang w:eastAsia="zh-CN"/>
        </w:rPr>
        <w:t>（附件），</w:t>
      </w:r>
      <w:r>
        <w:rPr>
          <w:rFonts w:hint="eastAsia" w:ascii="仿宋_GB2312" w:hAnsi="仿宋_GB2312" w:cs="仿宋_GB2312"/>
          <w:color w:val="auto"/>
          <w:u w:val="none"/>
          <w:lang w:val="en-US" w:eastAsia="zh-CN"/>
        </w:rPr>
        <w:t>于每学期开学前两周</w:t>
      </w:r>
      <w:r>
        <w:rPr>
          <w:rFonts w:hint="eastAsia" w:ascii="仿宋_GB2312" w:hAnsi="仿宋_GB2312" w:cs="仿宋_GB2312"/>
          <w:color w:val="auto"/>
          <w:u w:val="none"/>
          <w:lang w:eastAsia="zh-CN"/>
        </w:rPr>
        <w:t>报送</w:t>
      </w:r>
      <w:r>
        <w:rPr>
          <w:rFonts w:hint="eastAsia" w:ascii="仿宋_GB2312" w:hAnsi="仿宋_GB2312" w:cs="仿宋_GB2312"/>
          <w:color w:val="auto"/>
          <w:u w:val="none"/>
          <w:lang w:val="en-US" w:eastAsia="zh-CN"/>
        </w:rPr>
        <w:t>属地教育主管部门</w:t>
      </w:r>
      <w:r>
        <w:rPr>
          <w:rFonts w:hint="eastAsia" w:ascii="仿宋_GB2312" w:hAnsi="仿宋_GB2312" w:cs="仿宋_GB2312"/>
          <w:color w:val="auto"/>
          <w:u w:val="none"/>
          <w:lang w:eastAsia="zh-CN"/>
        </w:rPr>
        <w:t>，</w:t>
      </w:r>
      <w:r>
        <w:rPr>
          <w:rFonts w:hint="eastAsia" w:ascii="仿宋_GB2312" w:hAnsi="仿宋_GB2312" w:cs="仿宋_GB2312"/>
          <w:color w:val="auto"/>
          <w:u w:val="none"/>
          <w:lang w:val="en-US" w:eastAsia="zh-CN"/>
        </w:rPr>
        <w:t>形成机构推荐最新名单，供学校遴选，</w:t>
      </w:r>
      <w:r>
        <w:rPr>
          <w:rFonts w:hint="eastAsia" w:ascii="仿宋_GB2312" w:hAnsi="仿宋_GB2312" w:cs="仿宋_GB2312"/>
          <w:color w:val="auto"/>
          <w:u w:val="none"/>
        </w:rPr>
        <w:t>逾期申报视为主动放弃</w:t>
      </w:r>
      <w:r>
        <w:rPr>
          <w:rFonts w:hint="eastAsia" w:ascii="仿宋_GB2312" w:hAnsi="仿宋_GB2312" w:cs="仿宋_GB2312"/>
          <w:color w:val="auto"/>
          <w:u w:val="none"/>
          <w:lang w:eastAsia="zh-CN"/>
        </w:rPr>
        <w:t>参选资格</w:t>
      </w:r>
      <w:r>
        <w:rPr>
          <w:rFonts w:hint="eastAsia" w:ascii="仿宋_GB2312" w:hAnsi="仿宋_GB2312" w:cs="仿宋_GB2312"/>
          <w:color w:val="auto"/>
          <w:u w:val="none"/>
        </w:rPr>
        <w:t>。</w:t>
      </w:r>
    </w:p>
    <w:p w14:paraId="02E8C611">
      <w:pPr>
        <w:ind w:firstLine="480" w:firstLineChars="150"/>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（二）</w:t>
      </w:r>
      <w:r>
        <w:rPr>
          <w:rFonts w:hint="eastAsia" w:ascii="楷体_GB2312" w:hAnsi="楷体_GB2312" w:eastAsia="楷体_GB2312" w:cs="楷体_GB2312"/>
          <w:color w:val="auto"/>
          <w:lang w:eastAsia="zh-CN"/>
        </w:rPr>
        <w:t>学校遴选</w:t>
      </w:r>
    </w:p>
    <w:p w14:paraId="1808D671">
      <w:pPr>
        <w:pStyle w:val="9"/>
        <w:rPr>
          <w:rFonts w:hint="eastAsia" w:ascii="仿宋_GB2312" w:hAnsi="仿宋_GB2312" w:eastAsia="仿宋_GB2312" w:cs="仿宋_GB2312"/>
          <w:lang w:eastAsia="zh-CN"/>
        </w:rPr>
      </w:pPr>
      <w:r>
        <w:rPr>
          <w:rFonts w:hint="eastAsia" w:hAnsi="仿宋_GB2312" w:cs="仿宋_GB2312"/>
          <w:u w:val="none"/>
          <w:lang w:eastAsia="zh-CN"/>
        </w:rPr>
        <w:t>学校根据办学需要和学生发展需求，</w:t>
      </w:r>
      <w:r>
        <w:rPr>
          <w:rFonts w:hint="eastAsia" w:hAnsi="仿宋_GB2312" w:cs="仿宋_GB2312"/>
          <w:u w:val="none"/>
          <w:lang w:val="en-US" w:eastAsia="zh-CN"/>
        </w:rPr>
        <w:t>结合</w:t>
      </w:r>
      <w:r>
        <w:rPr>
          <w:rFonts w:hint="eastAsia" w:hAnsi="仿宋_GB2312" w:cs="仿宋_GB2312"/>
          <w:color w:val="auto"/>
          <w:u w:val="none"/>
          <w:lang w:eastAsia="zh-CN"/>
        </w:rPr>
        <w:t>机构自主申报情况，</w:t>
      </w:r>
      <w:r>
        <w:rPr>
          <w:rFonts w:hint="eastAsia" w:hAnsi="仿宋_GB2312" w:cs="仿宋_GB2312"/>
          <w:color w:val="auto"/>
          <w:u w:val="none"/>
          <w:lang w:val="en-US" w:eastAsia="zh-CN"/>
        </w:rPr>
        <w:t>在学校所属县级行政区划内</w:t>
      </w:r>
      <w:r>
        <w:rPr>
          <w:rFonts w:hint="eastAsia" w:hAnsi="仿宋_GB2312" w:cs="仿宋_GB2312"/>
          <w:color w:val="auto"/>
          <w:u w:val="none"/>
          <w:lang w:eastAsia="zh-CN"/>
        </w:rPr>
        <w:t>确定机构名单，</w:t>
      </w:r>
      <w:r>
        <w:rPr>
          <w:rFonts w:hint="eastAsia" w:ascii="仿宋_GB2312" w:hAnsi="仿宋_GB2312" w:cs="仿宋_GB2312"/>
          <w:color w:val="auto"/>
          <w:u w:val="none"/>
        </w:rPr>
        <w:t>遴选</w:t>
      </w:r>
      <w:r>
        <w:rPr>
          <w:rFonts w:hint="eastAsia" w:hAnsi="仿宋_GB2312" w:cs="仿宋_GB2312"/>
          <w:color w:val="auto"/>
          <w:u w:val="none"/>
          <w:lang w:val="en-US" w:eastAsia="zh-CN"/>
        </w:rPr>
        <w:t>优质</w:t>
      </w:r>
      <w:r>
        <w:rPr>
          <w:rFonts w:hint="eastAsia" w:ascii="仿宋_GB2312" w:hAnsi="仿宋_GB2312" w:cs="仿宋_GB2312"/>
          <w:color w:val="auto"/>
          <w:u w:val="none"/>
        </w:rPr>
        <w:t>机构及课程项目参与课后服务。</w:t>
      </w:r>
      <w:r>
        <w:rPr>
          <w:rFonts w:hint="eastAsia" w:hAnsi="仿宋_GB2312" w:cs="仿宋_GB2312"/>
          <w:lang w:eastAsia="zh-CN"/>
        </w:rPr>
        <w:t>遴选程序包括发布公告、申报、现场陈述、评议、确认、公示等环节。参与遴选人员由学校自行确定，人员包括校长、中层干部、家长代表等。评议中要有评议内容、标准、权重赋分，实施量化评分。</w:t>
      </w:r>
    </w:p>
    <w:p w14:paraId="5B7BFA5F">
      <w:pPr>
        <w:ind w:firstLine="480" w:firstLineChars="150"/>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（三）</w:t>
      </w:r>
      <w:r>
        <w:rPr>
          <w:rFonts w:hint="eastAsia" w:ascii="楷体_GB2312" w:hAnsi="楷体_GB2312" w:eastAsia="楷体_GB2312" w:cs="楷体_GB2312"/>
          <w:color w:val="auto"/>
          <w:lang w:eastAsia="zh-CN"/>
        </w:rPr>
        <w:t>签订合同</w:t>
      </w:r>
    </w:p>
    <w:p w14:paraId="55327BDE">
      <w:pPr>
        <w:pStyle w:val="9"/>
        <w:rPr>
          <w:rFonts w:hint="eastAsia"/>
          <w:lang w:eastAsia="zh-CN"/>
        </w:rPr>
      </w:pPr>
      <w:r>
        <w:rPr>
          <w:rFonts w:hint="eastAsia"/>
          <w:lang w:eastAsia="zh-CN"/>
        </w:rPr>
        <w:t>学校与最终选定的培训机构签订合同，合同有效期原则</w:t>
      </w:r>
      <w:r>
        <w:rPr>
          <w:rFonts w:hint="eastAsia"/>
          <w:color w:val="auto"/>
          <w:u w:val="none"/>
          <w:lang w:eastAsia="zh-CN"/>
        </w:rPr>
        <w:t>上为一个学</w:t>
      </w:r>
      <w:r>
        <w:rPr>
          <w:rFonts w:hint="eastAsia"/>
          <w:color w:val="auto"/>
          <w:u w:val="none"/>
          <w:lang w:val="en-US" w:eastAsia="zh-CN"/>
        </w:rPr>
        <w:t>期</w:t>
      </w:r>
      <w:r>
        <w:rPr>
          <w:rFonts w:hint="eastAsia"/>
          <w:u w:val="none"/>
          <w:lang w:eastAsia="zh-CN"/>
        </w:rPr>
        <w:t>，</w:t>
      </w:r>
      <w:r>
        <w:rPr>
          <w:rFonts w:hint="eastAsia"/>
          <w:lang w:eastAsia="zh-CN"/>
        </w:rPr>
        <w:t>如遇不可抗拒因素或学校测评满意度较差，限期整改不到位的，可提前终止合同。</w:t>
      </w:r>
    </w:p>
    <w:p w14:paraId="7995494A">
      <w:pPr>
        <w:ind w:firstLine="480" w:firstLineChars="150"/>
        <w:rPr>
          <w:rFonts w:hint="eastAsia" w:ascii="楷体_GB2312" w:hAnsi="楷体_GB2312" w:eastAsia="楷体_GB2312" w:cs="楷体_GB2312"/>
          <w:color w:val="auto"/>
        </w:rPr>
      </w:pPr>
      <w:r>
        <w:rPr>
          <w:rFonts w:hint="eastAsia" w:ascii="楷体_GB2312" w:hAnsi="楷体_GB2312" w:eastAsia="楷体_GB2312" w:cs="楷体_GB2312"/>
          <w:color w:val="auto"/>
        </w:rPr>
        <w:t>（四）</w:t>
      </w:r>
      <w:r>
        <w:rPr>
          <w:rFonts w:hint="eastAsia" w:ascii="楷体_GB2312" w:hAnsi="楷体_GB2312" w:eastAsia="楷体_GB2312" w:cs="楷体_GB2312"/>
          <w:color w:val="auto"/>
          <w:lang w:eastAsia="zh-CN"/>
        </w:rPr>
        <w:t>公示</w:t>
      </w:r>
      <w:r>
        <w:rPr>
          <w:rFonts w:hint="eastAsia" w:ascii="楷体_GB2312" w:hAnsi="楷体_GB2312" w:eastAsia="楷体_GB2312" w:cs="楷体_GB2312"/>
          <w:color w:val="auto"/>
        </w:rPr>
        <w:t>公布</w:t>
      </w:r>
    </w:p>
    <w:p w14:paraId="2978982B">
      <w:pPr>
        <w:ind w:firstLine="480" w:firstLineChars="150"/>
        <w:rPr>
          <w:rFonts w:hint="eastAsia" w:ascii="仿宋_GB2312" w:hAnsi="仿宋_GB2312" w:cs="仿宋_GB2312"/>
          <w:color w:val="auto"/>
          <w:u w:val="none"/>
        </w:rPr>
      </w:pPr>
      <w:r>
        <w:rPr>
          <w:rFonts w:hint="eastAsia" w:ascii="仿宋_GB2312" w:hAnsi="仿宋_GB2312" w:cs="仿宋_GB2312"/>
          <w:color w:val="auto"/>
          <w:u w:val="none"/>
          <w:lang w:eastAsia="zh-CN"/>
        </w:rPr>
        <w:t>各学校将遴选结果</w:t>
      </w:r>
      <w:r>
        <w:rPr>
          <w:rFonts w:hint="eastAsia" w:ascii="仿宋_GB2312" w:hAnsi="仿宋_GB2312" w:cs="仿宋_GB2312"/>
          <w:color w:val="auto"/>
          <w:u w:val="none"/>
          <w:lang w:val="en-US" w:eastAsia="zh-CN"/>
        </w:rPr>
        <w:t>公示完成后，</w:t>
      </w:r>
      <w:r>
        <w:rPr>
          <w:rFonts w:hint="eastAsia" w:ascii="仿宋_GB2312" w:hAnsi="仿宋_GB2312" w:cs="仿宋_GB2312"/>
          <w:color w:val="auto"/>
          <w:u w:val="none"/>
          <w:lang w:eastAsia="zh-CN"/>
        </w:rPr>
        <w:t>报</w:t>
      </w:r>
      <w:r>
        <w:rPr>
          <w:rFonts w:hint="eastAsia" w:ascii="仿宋_GB2312" w:hAnsi="仿宋_GB2312" w:cs="仿宋_GB2312"/>
          <w:color w:val="auto"/>
          <w:u w:val="none"/>
          <w:lang w:val="en-US" w:eastAsia="zh-CN"/>
        </w:rPr>
        <w:t>县（市、区）</w:t>
      </w:r>
      <w:r>
        <w:rPr>
          <w:rFonts w:hint="eastAsia" w:ascii="仿宋_GB2312" w:hAnsi="仿宋_GB2312" w:cs="仿宋_GB2312"/>
          <w:color w:val="auto"/>
          <w:u w:val="none"/>
          <w:lang w:eastAsia="zh-CN"/>
        </w:rPr>
        <w:t>教育</w:t>
      </w:r>
      <w:r>
        <w:rPr>
          <w:rFonts w:hint="eastAsia" w:ascii="仿宋_GB2312" w:hAnsi="仿宋_GB2312" w:cs="仿宋_GB2312"/>
          <w:color w:val="auto"/>
          <w:u w:val="none"/>
          <w:lang w:val="en-US" w:eastAsia="zh-CN"/>
        </w:rPr>
        <w:t>主管</w:t>
      </w:r>
      <w:r>
        <w:rPr>
          <w:rFonts w:hint="eastAsia" w:ascii="仿宋_GB2312" w:hAnsi="仿宋_GB2312" w:cs="仿宋_GB2312"/>
          <w:color w:val="auto"/>
          <w:u w:val="none"/>
          <w:lang w:eastAsia="zh-CN"/>
        </w:rPr>
        <w:t>部门</w:t>
      </w:r>
      <w:r>
        <w:rPr>
          <w:rFonts w:hint="eastAsia" w:ascii="仿宋_GB2312" w:hAnsi="仿宋_GB2312" w:cs="仿宋_GB2312"/>
          <w:color w:val="auto"/>
          <w:u w:val="none"/>
          <w:lang w:val="en-US" w:eastAsia="zh-CN"/>
        </w:rPr>
        <w:t>备案</w:t>
      </w:r>
      <w:r>
        <w:rPr>
          <w:rFonts w:hint="eastAsia" w:ascii="仿宋_GB2312" w:hAnsi="仿宋_GB2312" w:cs="仿宋_GB2312"/>
          <w:color w:val="auto"/>
          <w:u w:val="none"/>
        </w:rPr>
        <w:t>。</w:t>
      </w:r>
    </w:p>
    <w:p w14:paraId="1375F364">
      <w:pPr>
        <w:ind w:firstLine="640" w:firstLineChars="200"/>
        <w:rPr>
          <w:rFonts w:ascii="黑体" w:hAnsi="黑体" w:eastAsia="黑体" w:cs="黑体"/>
          <w:color w:val="auto"/>
        </w:rPr>
      </w:pPr>
      <w:r>
        <w:rPr>
          <w:rFonts w:hint="eastAsia" w:ascii="黑体" w:hAnsi="黑体" w:eastAsia="黑体" w:cs="黑体"/>
          <w:color w:val="auto"/>
          <w:lang w:eastAsia="zh-CN"/>
        </w:rPr>
        <w:t>五</w:t>
      </w:r>
      <w:r>
        <w:rPr>
          <w:rFonts w:hint="eastAsia" w:ascii="黑体" w:hAnsi="黑体" w:eastAsia="黑体" w:cs="黑体"/>
          <w:color w:val="auto"/>
        </w:rPr>
        <w:t>、进校园程序及监管措施</w:t>
      </w:r>
    </w:p>
    <w:p w14:paraId="15B52CEA">
      <w:pPr>
        <w:ind w:firstLine="640" w:firstLineChars="200"/>
        <w:rPr>
          <w:rFonts w:hint="eastAsia" w:ascii="仿宋_GB2312" w:hAnsi="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一</w:t>
      </w:r>
      <w:r>
        <w:rPr>
          <w:rFonts w:hint="eastAsia" w:ascii="仿宋_GB2312" w:hAnsi="仿宋_GB2312" w:cs="仿宋_GB2312"/>
          <w:color w:val="auto"/>
        </w:rPr>
        <w:t>）</w:t>
      </w:r>
      <w:r>
        <w:rPr>
          <w:rFonts w:hint="eastAsia" w:ascii="仿宋_GB2312" w:hAnsi="仿宋_GB2312" w:cs="仿宋_GB2312"/>
          <w:color w:val="auto"/>
          <w:lang w:eastAsia="zh-CN"/>
        </w:rPr>
        <w:t>学校</w:t>
      </w:r>
      <w:r>
        <w:rPr>
          <w:rFonts w:hint="eastAsia" w:ascii="仿宋_GB2312" w:hAnsi="仿宋_GB2312" w:cs="仿宋_GB2312"/>
          <w:color w:val="auto"/>
        </w:rPr>
        <w:t>课后服务不能满足部分学生发展兴趣特长等特殊需要的，可适当引进非学科类校外</w:t>
      </w:r>
      <w:r>
        <w:rPr>
          <w:rFonts w:hint="eastAsia" w:ascii="仿宋_GB2312" w:hAnsi="仿宋_GB2312" w:cs="仿宋_GB2312"/>
          <w:color w:val="auto"/>
          <w:lang w:val="en-US" w:eastAsia="zh-CN"/>
        </w:rPr>
        <w:t>教育</w:t>
      </w:r>
      <w:r>
        <w:rPr>
          <w:rFonts w:hint="eastAsia" w:ascii="仿宋_GB2312" w:hAnsi="仿宋_GB2312" w:cs="仿宋_GB2312"/>
          <w:color w:val="auto"/>
        </w:rPr>
        <w:t>培训机构参与课后服务</w:t>
      </w:r>
      <w:r>
        <w:rPr>
          <w:rFonts w:hint="eastAsia" w:ascii="仿宋_GB2312" w:hAnsi="仿宋_GB2312" w:cs="仿宋_GB2312"/>
          <w:color w:val="auto"/>
          <w:lang w:eastAsia="zh-CN"/>
        </w:rPr>
        <w:t>。</w:t>
      </w:r>
      <w:r>
        <w:rPr>
          <w:rFonts w:hint="eastAsia" w:ascii="仿宋_GB2312" w:hAnsi="仿宋_GB2312" w:cs="仿宋_GB2312"/>
          <w:color w:val="auto"/>
          <w:u w:val="none"/>
          <w:lang w:val="en-US" w:eastAsia="zh-CN"/>
        </w:rPr>
        <w:t>泰安市校外教育培训机构星级评定</w:t>
      </w:r>
      <w:r>
        <w:rPr>
          <w:rFonts w:hint="eastAsia" w:ascii="仿宋_GB2312" w:hAnsi="仿宋_GB2312" w:cs="仿宋_GB2312"/>
          <w:color w:val="auto"/>
          <w:lang w:val="en-US" w:eastAsia="zh-CN"/>
        </w:rPr>
        <w:t>结果</w:t>
      </w:r>
      <w:r>
        <w:rPr>
          <w:rFonts w:hint="eastAsia" w:ascii="仿宋_GB2312" w:hAnsi="仿宋_GB2312" w:cs="仿宋_GB2312"/>
          <w:color w:val="auto"/>
          <w:lang w:eastAsia="zh-CN"/>
        </w:rPr>
        <w:t>及泰安市校外培训机构预收费监管“绿黄红”三色名单</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由</w:t>
      </w:r>
      <w:r>
        <w:rPr>
          <w:rFonts w:hint="eastAsia" w:ascii="仿宋_GB2312" w:hAnsi="仿宋_GB2312" w:cs="仿宋_GB2312"/>
          <w:color w:val="auto"/>
          <w:lang w:val="en-US" w:eastAsia="zh-CN"/>
        </w:rPr>
        <w:t>县级校外校外培训监管主管科室</w:t>
      </w:r>
      <w:r>
        <w:rPr>
          <w:rFonts w:hint="eastAsia" w:ascii="仿宋_GB2312" w:hAnsi="仿宋_GB2312" w:cs="仿宋_GB2312"/>
          <w:color w:val="auto"/>
          <w:lang w:eastAsia="zh-CN"/>
        </w:rPr>
        <w:t>提供，</w:t>
      </w:r>
      <w:r>
        <w:rPr>
          <w:rFonts w:hint="eastAsia" w:ascii="仿宋_GB2312" w:hAnsi="仿宋_GB2312" w:cs="仿宋_GB2312"/>
          <w:color w:val="auto"/>
        </w:rPr>
        <w:t>供学校</w:t>
      </w:r>
      <w:r>
        <w:rPr>
          <w:rFonts w:hint="eastAsia" w:ascii="仿宋_GB2312" w:hAnsi="仿宋_GB2312" w:cs="仿宋_GB2312"/>
          <w:color w:val="auto"/>
          <w:lang w:eastAsia="zh-CN"/>
        </w:rPr>
        <w:t>遴选</w:t>
      </w:r>
      <w:r>
        <w:rPr>
          <w:rFonts w:hint="eastAsia" w:ascii="仿宋_GB2312" w:hAnsi="仿宋_GB2312" w:cs="仿宋_GB2312"/>
          <w:color w:val="auto"/>
        </w:rPr>
        <w:t>使用</w:t>
      </w:r>
      <w:r>
        <w:rPr>
          <w:rFonts w:hint="eastAsia" w:ascii="仿宋_GB2312" w:hAnsi="仿宋_GB2312" w:cs="仿宋_GB2312"/>
          <w:color w:val="auto"/>
          <w:lang w:eastAsia="zh-CN"/>
        </w:rPr>
        <w:t>。</w:t>
      </w:r>
      <w:r>
        <w:rPr>
          <w:rFonts w:hint="eastAsia" w:ascii="仿宋_GB2312" w:hAnsi="仿宋_GB2312" w:cs="仿宋_GB2312"/>
          <w:color w:val="auto"/>
        </w:rPr>
        <w:t>建立评估退出机制，对出现服务水平低下、恶意在校招揽生源、不按规定提供服务、扰乱学校教育教学和招生秩序等问题的培训机构，</w:t>
      </w:r>
      <w:r>
        <w:rPr>
          <w:rFonts w:hint="eastAsia" w:ascii="仿宋_GB2312" w:hAnsi="仿宋_GB2312" w:cs="仿宋_GB2312"/>
          <w:color w:val="auto"/>
          <w:lang w:eastAsia="zh-CN"/>
        </w:rPr>
        <w:t>一经查实立即</w:t>
      </w:r>
      <w:r>
        <w:rPr>
          <w:rFonts w:hint="eastAsia" w:ascii="仿宋_GB2312" w:hAnsi="仿宋_GB2312" w:cs="仿宋_GB2312"/>
          <w:color w:val="auto"/>
        </w:rPr>
        <w:t>取消</w:t>
      </w:r>
      <w:r>
        <w:rPr>
          <w:rFonts w:hint="eastAsia" w:ascii="仿宋_GB2312" w:hAnsi="仿宋_GB2312" w:cs="仿宋_GB2312"/>
          <w:color w:val="auto"/>
          <w:lang w:eastAsia="zh-CN"/>
        </w:rPr>
        <w:t>参与</w:t>
      </w:r>
      <w:r>
        <w:rPr>
          <w:rFonts w:hint="eastAsia" w:ascii="仿宋_GB2312" w:hAnsi="仿宋_GB2312" w:cs="仿宋_GB2312"/>
          <w:color w:val="auto"/>
        </w:rPr>
        <w:t>课后服务资质。</w:t>
      </w:r>
    </w:p>
    <w:p w14:paraId="636711CD">
      <w:pPr>
        <w:ind w:firstLine="640" w:firstLineChars="200"/>
        <w:rPr>
          <w:rFonts w:ascii="仿宋_GB2312" w:hAnsi="仿宋_GB2312" w:cs="仿宋_GB2312"/>
          <w:color w:val="auto"/>
        </w:rPr>
      </w:pPr>
      <w:r>
        <w:rPr>
          <w:rFonts w:hint="eastAsia" w:ascii="仿宋_GB2312" w:hAnsi="仿宋_GB2312" w:cs="仿宋_GB2312"/>
          <w:color w:val="auto"/>
        </w:rPr>
        <w:t>（</w:t>
      </w:r>
      <w:r>
        <w:rPr>
          <w:rFonts w:hint="eastAsia" w:ascii="仿宋_GB2312" w:hAnsi="仿宋_GB2312" w:cs="仿宋_GB2312"/>
          <w:color w:val="auto"/>
          <w:lang w:eastAsia="zh-CN"/>
        </w:rPr>
        <w:t>二</w:t>
      </w:r>
      <w:r>
        <w:rPr>
          <w:rFonts w:hint="eastAsia" w:ascii="仿宋_GB2312" w:hAnsi="仿宋_GB2312" w:cs="仿宋_GB2312"/>
          <w:color w:val="auto"/>
        </w:rPr>
        <w:t>）</w:t>
      </w:r>
      <w:r>
        <w:rPr>
          <w:rFonts w:hint="eastAsia" w:ascii="仿宋_GB2312" w:hAnsi="仿宋_GB2312" w:cs="仿宋_GB2312"/>
          <w:color w:val="auto"/>
          <w:lang w:eastAsia="zh-CN"/>
        </w:rPr>
        <w:t>各学校</w:t>
      </w:r>
      <w:r>
        <w:rPr>
          <w:rFonts w:hint="eastAsia" w:ascii="仿宋_GB2312" w:hAnsi="仿宋_GB2312" w:cs="仿宋_GB2312"/>
          <w:color w:val="auto"/>
        </w:rPr>
        <w:t>将服务机构</w:t>
      </w:r>
      <w:r>
        <w:rPr>
          <w:rFonts w:hint="eastAsia" w:ascii="仿宋_GB2312" w:hAnsi="仿宋_GB2312" w:cs="仿宋_GB2312"/>
          <w:color w:val="auto"/>
          <w:lang w:eastAsia="zh-CN"/>
        </w:rPr>
        <w:t>名单</w:t>
      </w:r>
      <w:r>
        <w:rPr>
          <w:rFonts w:hint="eastAsia" w:ascii="仿宋_GB2312" w:hAnsi="仿宋_GB2312" w:cs="仿宋_GB2312"/>
          <w:color w:val="auto"/>
        </w:rPr>
        <w:t>和参与课后服务人员造册</w:t>
      </w:r>
      <w:r>
        <w:rPr>
          <w:rFonts w:hint="eastAsia" w:ascii="仿宋_GB2312" w:hAnsi="仿宋_GB2312" w:cs="仿宋_GB2312"/>
          <w:color w:val="auto"/>
          <w:u w:val="none"/>
        </w:rPr>
        <w:t>，报县（市、区）教育部门</w:t>
      </w:r>
      <w:r>
        <w:rPr>
          <w:rFonts w:hint="eastAsia" w:ascii="仿宋_GB2312" w:hAnsi="仿宋_GB2312" w:cs="仿宋_GB2312"/>
          <w:color w:val="auto"/>
          <w:u w:val="none"/>
          <w:lang w:eastAsia="zh-CN"/>
        </w:rPr>
        <w:t>审核批准</w:t>
      </w:r>
      <w:r>
        <w:rPr>
          <w:rFonts w:hint="eastAsia" w:ascii="仿宋_GB2312" w:hAnsi="仿宋_GB2312" w:cs="仿宋_GB2312"/>
          <w:color w:val="auto"/>
          <w:u w:val="none"/>
          <w:lang w:val="en-US" w:eastAsia="zh-CN"/>
        </w:rPr>
        <w:t>后</w:t>
      </w:r>
      <w:r>
        <w:rPr>
          <w:rFonts w:hint="eastAsia" w:ascii="仿宋_GB2312" w:hAnsi="仿宋_GB2312" w:cs="仿宋_GB2312"/>
          <w:color w:val="auto"/>
          <w:lang w:eastAsia="zh-CN"/>
        </w:rPr>
        <w:t>，</w:t>
      </w:r>
      <w:r>
        <w:rPr>
          <w:rFonts w:hint="eastAsia" w:ascii="仿宋_GB2312" w:hAnsi="仿宋_GB2312" w:cs="仿宋_GB2312"/>
          <w:color w:val="auto"/>
          <w:u w:val="none"/>
          <w:lang w:val="en-US" w:eastAsia="zh-CN"/>
        </w:rPr>
        <w:t>方可</w:t>
      </w:r>
      <w:r>
        <w:rPr>
          <w:rFonts w:hint="eastAsia" w:ascii="仿宋_GB2312" w:hAnsi="仿宋_GB2312" w:cs="仿宋_GB2312"/>
          <w:color w:val="auto"/>
          <w:u w:val="none"/>
        </w:rPr>
        <w:t>签订服务协议</w:t>
      </w:r>
      <w:r>
        <w:rPr>
          <w:rFonts w:hint="eastAsia" w:ascii="仿宋_GB2312" w:hAnsi="仿宋_GB2312" w:cs="仿宋_GB2312"/>
          <w:color w:val="auto"/>
          <w:u w:val="none"/>
          <w:lang w:eastAsia="zh-CN"/>
        </w:rPr>
        <w:t>（每学</w:t>
      </w:r>
      <w:r>
        <w:rPr>
          <w:rFonts w:hint="eastAsia" w:ascii="仿宋_GB2312" w:hAnsi="仿宋_GB2312" w:cs="仿宋_GB2312"/>
          <w:color w:val="auto"/>
          <w:u w:val="none"/>
          <w:lang w:val="en-US" w:eastAsia="zh-CN"/>
        </w:rPr>
        <w:t>期</w:t>
      </w:r>
      <w:r>
        <w:rPr>
          <w:rFonts w:hint="eastAsia" w:ascii="仿宋_GB2312" w:hAnsi="仿宋_GB2312" w:cs="仿宋_GB2312"/>
          <w:color w:val="auto"/>
          <w:u w:val="none"/>
          <w:lang w:eastAsia="zh-CN"/>
        </w:rPr>
        <w:t>签订一次）</w:t>
      </w:r>
      <w:r>
        <w:rPr>
          <w:rFonts w:hint="eastAsia" w:ascii="仿宋_GB2312" w:hAnsi="仿宋_GB2312" w:cs="仿宋_GB2312"/>
          <w:color w:val="auto"/>
          <w:u w:val="none"/>
        </w:rPr>
        <w:t>。</w:t>
      </w:r>
      <w:r>
        <w:rPr>
          <w:rFonts w:hint="eastAsia" w:ascii="仿宋_GB2312" w:hAnsi="仿宋_GB2312" w:cs="仿宋_GB2312"/>
          <w:color w:val="auto"/>
          <w:u w:val="none"/>
          <w:lang w:eastAsia="zh-CN"/>
        </w:rPr>
        <w:t>严</w:t>
      </w:r>
      <w:r>
        <w:rPr>
          <w:rFonts w:hint="eastAsia" w:ascii="仿宋_GB2312" w:hAnsi="仿宋_GB2312" w:cs="仿宋_GB2312"/>
          <w:color w:val="auto"/>
          <w:lang w:eastAsia="zh-CN"/>
        </w:rPr>
        <w:t>禁学校引进名单外的校外培训机构。</w:t>
      </w:r>
    </w:p>
    <w:p w14:paraId="625CD75B">
      <w:pPr>
        <w:ind w:firstLine="640" w:firstLineChars="200"/>
        <w:rPr>
          <w:rFonts w:hint="eastAsia" w:ascii="仿宋_GB2312" w:hAnsi="仿宋_GB2312" w:cs="仿宋_GB2312"/>
          <w:color w:val="C00000"/>
          <w:lang w:eastAsia="zh-CN"/>
        </w:rPr>
      </w:pPr>
      <w:r>
        <w:rPr>
          <w:rFonts w:hint="eastAsia" w:ascii="仿宋_GB2312" w:hAnsi="仿宋_GB2312" w:cs="仿宋_GB2312"/>
          <w:color w:val="auto"/>
        </w:rPr>
        <w:t>（</w:t>
      </w:r>
      <w:r>
        <w:rPr>
          <w:rFonts w:hint="eastAsia" w:ascii="仿宋_GB2312" w:hAnsi="仿宋_GB2312" w:cs="仿宋_GB2312"/>
          <w:color w:val="auto"/>
          <w:lang w:eastAsia="zh-CN"/>
        </w:rPr>
        <w:t>三</w:t>
      </w:r>
      <w:r>
        <w:rPr>
          <w:rFonts w:hint="eastAsia" w:ascii="仿宋_GB2312" w:hAnsi="仿宋_GB2312" w:cs="仿宋_GB2312"/>
          <w:color w:val="auto"/>
        </w:rPr>
        <w:t>）</w:t>
      </w:r>
      <w:r>
        <w:rPr>
          <w:rFonts w:hint="eastAsia" w:ascii="仿宋_GB2312" w:hAnsi="仿宋_GB2312" w:cs="仿宋_GB2312"/>
          <w:color w:val="auto"/>
          <w:lang w:eastAsia="zh-CN"/>
        </w:rPr>
        <w:t>所有申报参与进校园服务的非学科类</w:t>
      </w:r>
      <w:r>
        <w:rPr>
          <w:rFonts w:hint="eastAsia" w:ascii="仿宋_GB2312" w:hAnsi="仿宋_GB2312" w:cs="仿宋_GB2312"/>
          <w:color w:val="auto"/>
          <w:lang w:val="en-US" w:eastAsia="zh-CN"/>
        </w:rPr>
        <w:t>校外教育培训</w:t>
      </w:r>
      <w:r>
        <w:rPr>
          <w:rFonts w:hint="eastAsia" w:ascii="仿宋_GB2312" w:hAnsi="仿宋_GB2312" w:cs="仿宋_GB2312"/>
          <w:color w:val="auto"/>
          <w:lang w:eastAsia="zh-CN"/>
        </w:rPr>
        <w:t>机构，</w:t>
      </w:r>
      <w:r>
        <w:rPr>
          <w:rFonts w:hint="eastAsia" w:ascii="仿宋_GB2312" w:hAnsi="仿宋_GB2312" w:cs="仿宋_GB2312"/>
          <w:color w:val="auto"/>
          <w:lang w:val="en-US" w:eastAsia="zh-CN"/>
        </w:rPr>
        <w:t>在本学期服务期满后，由</w:t>
      </w:r>
      <w:r>
        <w:rPr>
          <w:rFonts w:hint="eastAsia" w:ascii="仿宋_GB2312" w:hAnsi="仿宋_GB2312" w:cs="仿宋_GB2312"/>
          <w:color w:val="auto"/>
          <w:u w:val="none"/>
        </w:rPr>
        <w:t>县（市、区）教育部门</w:t>
      </w:r>
      <w:r>
        <w:rPr>
          <w:rFonts w:hint="eastAsia" w:ascii="仿宋_GB2312" w:hAnsi="仿宋_GB2312" w:cs="仿宋_GB2312"/>
          <w:color w:val="auto"/>
          <w:u w:val="none"/>
          <w:lang w:val="en-US" w:eastAsia="zh-CN"/>
        </w:rPr>
        <w:t>组织</w:t>
      </w:r>
      <w:r>
        <w:rPr>
          <w:rFonts w:hint="eastAsia" w:ascii="仿宋_GB2312" w:hAnsi="仿宋_GB2312" w:cs="仿宋_GB2312"/>
          <w:color w:val="auto"/>
          <w:lang w:val="en-US" w:eastAsia="zh-CN"/>
        </w:rPr>
        <w:t>学校进行服务评价，评价不合格的不得列入下一学期进校园服务</w:t>
      </w:r>
      <w:r>
        <w:rPr>
          <w:rFonts w:hint="eastAsia" w:ascii="仿宋_GB2312" w:hAnsi="仿宋_GB2312" w:cs="仿宋_GB2312"/>
          <w:color w:val="auto"/>
          <w:u w:val="none"/>
          <w:lang w:val="en-US" w:eastAsia="zh-CN"/>
        </w:rPr>
        <w:t>机构推荐最新名单</w:t>
      </w:r>
      <w:r>
        <w:rPr>
          <w:rFonts w:hint="eastAsia" w:ascii="仿宋_GB2312" w:hAnsi="仿宋_GB2312" w:cs="仿宋_GB2312"/>
          <w:color w:val="auto"/>
          <w:lang w:val="en-US" w:eastAsia="zh-CN"/>
        </w:rPr>
        <w:t>。</w:t>
      </w:r>
    </w:p>
    <w:p w14:paraId="7C0C0B0E">
      <w:pPr>
        <w:ind w:firstLine="640" w:firstLineChars="200"/>
        <w:rPr>
          <w:rFonts w:hint="eastAsia"/>
          <w:color w:val="auto"/>
        </w:rPr>
      </w:pPr>
      <w:r>
        <w:rPr>
          <w:rFonts w:hint="eastAsia" w:ascii="仿宋_GB2312" w:hAnsi="仿宋_GB2312" w:cs="仿宋_GB2312"/>
          <w:color w:val="auto"/>
          <w:lang w:eastAsia="zh-CN"/>
        </w:rPr>
        <w:t>（四）</w:t>
      </w:r>
      <w:r>
        <w:rPr>
          <w:rFonts w:hint="eastAsia"/>
          <w:color w:val="auto"/>
          <w:u w:val="none"/>
          <w:lang w:val="en-US" w:eastAsia="zh-CN"/>
        </w:rPr>
        <w:t>各县（市、区）教育部门应紧密结合自身实际情况，常态化开展进校园服务开展情况的监督检查，确保进校园服务正规、安全、有序开展。</w:t>
      </w:r>
      <w:r>
        <w:rPr>
          <w:rFonts w:hint="eastAsia" w:ascii="仿宋_GB2312" w:hAnsi="仿宋_GB2312" w:cs="仿宋_GB2312"/>
          <w:color w:val="auto"/>
        </w:rPr>
        <w:t>参与课后服务的培训机构要自觉遵守学校各项管理规定，主动提升业务能力，配合学校做好学生安全管理和课后服务工作，确保课后服务质量。</w:t>
      </w:r>
      <w:r>
        <w:rPr>
          <w:rFonts w:hint="eastAsia"/>
          <w:color w:val="auto"/>
        </w:rPr>
        <w:t>学校负责对第三方日常服务行为进行监管，严防出现入校服务人员安全漏管漏控、行为失德失范、开展商业宣传等问题。</w:t>
      </w:r>
    </w:p>
    <w:p w14:paraId="300E8354">
      <w:pPr>
        <w:ind w:firstLine="640" w:firstLineChars="200"/>
        <w:rPr>
          <w:rFonts w:hint="eastAsia" w:ascii="黑体" w:hAnsi="黑体" w:eastAsia="黑体" w:cs="黑体"/>
          <w:color w:val="auto"/>
          <w:lang w:eastAsia="zh-CN"/>
        </w:rPr>
      </w:pPr>
      <w:r>
        <w:rPr>
          <w:rFonts w:hint="eastAsia" w:ascii="黑体" w:hAnsi="黑体" w:eastAsia="黑体" w:cs="黑体"/>
          <w:color w:val="auto"/>
          <w:lang w:eastAsia="zh-CN"/>
        </w:rPr>
        <w:t>六、</w:t>
      </w:r>
      <w:r>
        <w:rPr>
          <w:rFonts w:hint="eastAsia" w:ascii="黑体" w:hAnsi="黑体" w:eastAsia="黑体" w:cs="黑体"/>
          <w:color w:val="auto"/>
        </w:rPr>
        <w:t>管理退出</w:t>
      </w:r>
      <w:r>
        <w:rPr>
          <w:rFonts w:hint="eastAsia" w:ascii="黑体" w:hAnsi="黑体" w:eastAsia="黑体" w:cs="黑体"/>
          <w:color w:val="auto"/>
          <w:lang w:eastAsia="zh-CN"/>
        </w:rPr>
        <w:t>机制</w:t>
      </w:r>
    </w:p>
    <w:p w14:paraId="7A6CF8B7">
      <w:pPr>
        <w:ind w:firstLine="640" w:firstLineChars="200"/>
        <w:rPr>
          <w:rFonts w:hint="eastAsia"/>
          <w:color w:val="auto"/>
          <w:u w:val="none"/>
        </w:rPr>
      </w:pPr>
      <w:r>
        <w:rPr>
          <w:rFonts w:hint="eastAsia"/>
          <w:color w:val="auto"/>
          <w:lang w:eastAsia="zh-CN"/>
        </w:rPr>
        <w:t>（一）</w:t>
      </w:r>
      <w:r>
        <w:rPr>
          <w:rFonts w:hint="eastAsia"/>
          <w:color w:val="auto"/>
        </w:rPr>
        <w:t>凡入校服务第三方出现以下情况，</w:t>
      </w:r>
      <w:r>
        <w:rPr>
          <w:rFonts w:hint="eastAsia"/>
          <w:color w:val="auto"/>
          <w:u w:val="none"/>
        </w:rPr>
        <w:t>学校可</w:t>
      </w:r>
      <w:r>
        <w:rPr>
          <w:rFonts w:hint="eastAsia"/>
          <w:color w:val="auto"/>
          <w:u w:val="none"/>
          <w:lang w:val="en-US" w:eastAsia="zh-CN"/>
        </w:rPr>
        <w:t>向所属机构</w:t>
      </w:r>
      <w:r>
        <w:rPr>
          <w:rFonts w:hint="eastAsia"/>
          <w:color w:val="auto"/>
          <w:u w:val="none"/>
        </w:rPr>
        <w:t>提出更换服务人员直至终止合作：</w:t>
      </w:r>
    </w:p>
    <w:p w14:paraId="158C2276">
      <w:pPr>
        <w:ind w:firstLine="640" w:firstLineChars="200"/>
        <w:rPr>
          <w:rFonts w:hint="eastAsia"/>
          <w:color w:val="auto"/>
        </w:rPr>
      </w:pPr>
      <w:r>
        <w:rPr>
          <w:rFonts w:hint="eastAsia"/>
          <w:color w:val="auto"/>
          <w:lang w:val="en-US" w:eastAsia="zh-CN"/>
        </w:rPr>
        <w:t>1.</w:t>
      </w:r>
      <w:r>
        <w:rPr>
          <w:rFonts w:hint="eastAsia"/>
          <w:color w:val="auto"/>
        </w:rPr>
        <w:t>服务人员提供虚假学历证明或职业（专业）能力证明的；</w:t>
      </w:r>
    </w:p>
    <w:p w14:paraId="63555062">
      <w:pPr>
        <w:ind w:firstLine="640" w:firstLineChars="200"/>
        <w:rPr>
          <w:rFonts w:hint="eastAsia"/>
          <w:color w:val="auto"/>
        </w:rPr>
      </w:pPr>
      <w:r>
        <w:rPr>
          <w:rFonts w:hint="eastAsia"/>
          <w:color w:val="auto"/>
          <w:lang w:val="en-US" w:eastAsia="zh-CN"/>
        </w:rPr>
        <w:t>2.出现服务水平低下、恶意在校招揽生源、不按规定提供服务、扰乱学校教育教学和招生秩序等</w:t>
      </w:r>
      <w:r>
        <w:rPr>
          <w:rFonts w:hint="eastAsia"/>
          <w:color w:val="auto"/>
        </w:rPr>
        <w:t>不良行为的；</w:t>
      </w:r>
    </w:p>
    <w:p w14:paraId="182BC13A">
      <w:pPr>
        <w:ind w:firstLine="640" w:firstLineChars="200"/>
        <w:rPr>
          <w:rFonts w:hint="eastAsia"/>
          <w:color w:val="auto"/>
        </w:rPr>
      </w:pPr>
      <w:r>
        <w:rPr>
          <w:rFonts w:hint="eastAsia"/>
          <w:color w:val="auto"/>
          <w:lang w:val="en-US" w:eastAsia="zh-CN"/>
        </w:rPr>
        <w:t>3.</w:t>
      </w:r>
      <w:r>
        <w:rPr>
          <w:rFonts w:hint="eastAsia"/>
          <w:color w:val="auto"/>
        </w:rPr>
        <w:t>不具备从事教育教学工作条件的；</w:t>
      </w:r>
    </w:p>
    <w:p w14:paraId="13C81855">
      <w:pPr>
        <w:ind w:firstLine="640" w:firstLineChars="200"/>
        <w:rPr>
          <w:rFonts w:hint="eastAsia"/>
          <w:color w:val="auto"/>
        </w:rPr>
      </w:pPr>
      <w:r>
        <w:rPr>
          <w:rFonts w:hint="eastAsia"/>
          <w:color w:val="auto"/>
          <w:lang w:val="en-US" w:eastAsia="zh-CN"/>
        </w:rPr>
        <w:t>4.</w:t>
      </w:r>
      <w:r>
        <w:rPr>
          <w:rFonts w:hint="eastAsia"/>
          <w:color w:val="auto"/>
        </w:rPr>
        <w:t>考核未达到要求或综合满意度低于80%的；</w:t>
      </w:r>
    </w:p>
    <w:p w14:paraId="7EF49D86">
      <w:pPr>
        <w:ind w:firstLine="640" w:firstLineChars="200"/>
        <w:rPr>
          <w:rFonts w:hint="eastAsia"/>
          <w:color w:val="auto"/>
        </w:rPr>
      </w:pPr>
      <w:r>
        <w:rPr>
          <w:rFonts w:hint="eastAsia"/>
          <w:color w:val="auto"/>
          <w:lang w:val="en-US" w:eastAsia="zh-CN"/>
        </w:rPr>
        <w:t>5.</w:t>
      </w:r>
      <w:r>
        <w:rPr>
          <w:rFonts w:hint="eastAsia"/>
          <w:color w:val="auto"/>
        </w:rPr>
        <w:t>其他影响入校服务的情形。</w:t>
      </w:r>
    </w:p>
    <w:p w14:paraId="523A0C4D">
      <w:pPr>
        <w:ind w:firstLine="640" w:firstLineChars="200"/>
        <w:rPr>
          <w:rFonts w:hint="eastAsia"/>
          <w:color w:val="auto"/>
        </w:rPr>
      </w:pPr>
      <w:r>
        <w:rPr>
          <w:rFonts w:hint="eastAsia"/>
          <w:color w:val="auto"/>
          <w:lang w:eastAsia="zh-CN"/>
        </w:rPr>
        <w:t>（二）</w:t>
      </w:r>
      <w:r>
        <w:rPr>
          <w:rFonts w:hint="eastAsia"/>
          <w:color w:val="auto"/>
        </w:rPr>
        <w:t>凡入校服务第三方出现以下情况，</w:t>
      </w:r>
      <w:r>
        <w:rPr>
          <w:rFonts w:hint="eastAsia"/>
          <w:color w:val="auto"/>
          <w:lang w:val="en-US" w:eastAsia="zh-CN"/>
        </w:rPr>
        <w:t>教育部门</w:t>
      </w:r>
      <w:r>
        <w:rPr>
          <w:rFonts w:hint="eastAsia"/>
          <w:color w:val="auto"/>
        </w:rPr>
        <w:t>可直接终止合作，</w:t>
      </w:r>
      <w:r>
        <w:rPr>
          <w:rFonts w:hint="eastAsia"/>
          <w:color w:val="auto"/>
          <w:lang w:val="en-US" w:eastAsia="zh-CN"/>
        </w:rPr>
        <w:t>由教育部门根据相应权限</w:t>
      </w:r>
      <w:r>
        <w:rPr>
          <w:rFonts w:hint="eastAsia"/>
          <w:color w:val="auto"/>
        </w:rPr>
        <w:t>移除</w:t>
      </w:r>
      <w:r>
        <w:rPr>
          <w:rFonts w:hint="eastAsia"/>
          <w:color w:val="auto"/>
          <w:lang w:eastAsia="zh-CN"/>
        </w:rPr>
        <w:t>参与</w:t>
      </w:r>
      <w:r>
        <w:rPr>
          <w:rFonts w:hint="eastAsia"/>
          <w:color w:val="auto"/>
        </w:rPr>
        <w:t>学校课后服务资格名单</w:t>
      </w:r>
      <w:r>
        <w:rPr>
          <w:rFonts w:hint="eastAsia"/>
          <w:color w:val="auto"/>
          <w:lang w:eastAsia="zh-CN"/>
        </w:rPr>
        <w:t>，</w:t>
      </w:r>
      <w:r>
        <w:rPr>
          <w:rFonts w:hint="eastAsia"/>
          <w:color w:val="auto"/>
          <w:lang w:val="en-US" w:eastAsia="zh-CN"/>
        </w:rPr>
        <w:t>并依据权限按照星级评定标准对星级立即调整</w:t>
      </w:r>
      <w:r>
        <w:rPr>
          <w:rFonts w:hint="eastAsia"/>
          <w:color w:val="auto"/>
        </w:rPr>
        <w:t>：</w:t>
      </w:r>
    </w:p>
    <w:p w14:paraId="18F770BD">
      <w:pPr>
        <w:ind w:firstLine="640" w:firstLineChars="200"/>
        <w:rPr>
          <w:rFonts w:hint="eastAsia"/>
          <w:color w:val="auto"/>
        </w:rPr>
      </w:pPr>
      <w:r>
        <w:rPr>
          <w:rFonts w:hint="eastAsia"/>
          <w:color w:val="auto"/>
          <w:lang w:val="en-US" w:eastAsia="zh-CN"/>
        </w:rPr>
        <w:t>1.</w:t>
      </w:r>
      <w:r>
        <w:rPr>
          <w:rFonts w:hint="eastAsia"/>
          <w:color w:val="auto"/>
        </w:rPr>
        <w:t>机构提供虚假资质或入校服务人员有违法违纪记录的；</w:t>
      </w:r>
    </w:p>
    <w:p w14:paraId="607A42E8">
      <w:pPr>
        <w:ind w:firstLine="640" w:firstLineChars="200"/>
        <w:rPr>
          <w:rFonts w:hint="eastAsia"/>
          <w:color w:val="auto"/>
          <w:u w:val="none"/>
        </w:rPr>
      </w:pPr>
      <w:r>
        <w:rPr>
          <w:rFonts w:hint="eastAsia"/>
          <w:color w:val="auto"/>
          <w:lang w:val="en-US" w:eastAsia="zh-CN"/>
        </w:rPr>
        <w:t>2.</w:t>
      </w:r>
      <w:r>
        <w:rPr>
          <w:rFonts w:hint="eastAsia" w:ascii="仿宋_GB2312" w:hAnsi="仿宋_GB2312" w:eastAsia="仿宋_GB2312" w:cs="仿宋_GB2312"/>
          <w:u w:val="none"/>
          <w:lang w:val="en-US" w:eastAsia="zh-CN"/>
        </w:rPr>
        <w:t>发生师德师风方面问题的；</w:t>
      </w:r>
    </w:p>
    <w:p w14:paraId="0AA24A29">
      <w:pPr>
        <w:ind w:firstLine="640" w:firstLineChars="200"/>
        <w:rPr>
          <w:rFonts w:hint="eastAsia"/>
          <w:color w:val="auto"/>
        </w:rPr>
      </w:pPr>
      <w:r>
        <w:rPr>
          <w:rFonts w:hint="eastAsia"/>
          <w:color w:val="auto"/>
          <w:lang w:val="en-US" w:eastAsia="zh-CN"/>
        </w:rPr>
        <w:t>3.</w:t>
      </w:r>
      <w:r>
        <w:rPr>
          <w:rFonts w:hint="eastAsia"/>
          <w:color w:val="auto"/>
        </w:rPr>
        <w:t>因服务不当出现安全责任事故的；</w:t>
      </w:r>
    </w:p>
    <w:p w14:paraId="397C7093">
      <w:pPr>
        <w:ind w:firstLine="640" w:firstLineChars="200"/>
        <w:rPr>
          <w:rFonts w:hint="eastAsia"/>
          <w:color w:val="auto"/>
        </w:rPr>
      </w:pPr>
      <w:r>
        <w:rPr>
          <w:rFonts w:hint="eastAsia"/>
          <w:color w:val="auto"/>
          <w:lang w:val="en-US" w:eastAsia="zh-CN"/>
        </w:rPr>
        <w:t>4.</w:t>
      </w:r>
      <w:r>
        <w:rPr>
          <w:rFonts w:hint="eastAsia"/>
          <w:color w:val="auto"/>
        </w:rPr>
        <w:t>擅自变动服务内容、降低服务标准的；</w:t>
      </w:r>
    </w:p>
    <w:p w14:paraId="37583F00">
      <w:pPr>
        <w:ind w:firstLine="640" w:firstLineChars="200"/>
        <w:rPr>
          <w:rFonts w:hint="eastAsia"/>
          <w:color w:val="auto"/>
        </w:rPr>
      </w:pPr>
      <w:r>
        <w:rPr>
          <w:rFonts w:hint="eastAsia"/>
          <w:color w:val="auto"/>
          <w:lang w:val="en-US" w:eastAsia="zh-CN"/>
        </w:rPr>
        <w:t>5.</w:t>
      </w:r>
      <w:r>
        <w:rPr>
          <w:rFonts w:hint="eastAsia"/>
          <w:color w:val="auto"/>
        </w:rPr>
        <w:t>开展商业推广性质活动的；</w:t>
      </w:r>
    </w:p>
    <w:p w14:paraId="768FDF50">
      <w:pPr>
        <w:ind w:firstLine="640" w:firstLineChars="200"/>
        <w:rPr>
          <w:rFonts w:hint="default" w:eastAsia="仿宋_GB2312"/>
          <w:color w:val="auto"/>
          <w:lang w:val="en-US" w:eastAsia="zh-CN"/>
        </w:rPr>
      </w:pPr>
      <w:r>
        <w:rPr>
          <w:rFonts w:hint="eastAsia"/>
          <w:color w:val="auto"/>
          <w:lang w:val="en-US" w:eastAsia="zh-CN"/>
        </w:rPr>
        <w:t>6.开设课程和使用教材不符合党的教育方针和法律法规等不利于学生身心健康发展的；</w:t>
      </w:r>
    </w:p>
    <w:p w14:paraId="43C76E23">
      <w:pPr>
        <w:ind w:firstLine="640" w:firstLineChars="200"/>
        <w:rPr>
          <w:rFonts w:hint="eastAsia"/>
          <w:color w:val="auto"/>
        </w:rPr>
      </w:pPr>
      <w:r>
        <w:rPr>
          <w:rFonts w:hint="eastAsia"/>
          <w:color w:val="auto"/>
          <w:lang w:val="en-US" w:eastAsia="zh-CN"/>
        </w:rPr>
        <w:t>7.</w:t>
      </w:r>
      <w:r>
        <w:rPr>
          <w:rFonts w:hint="eastAsia"/>
          <w:color w:val="auto"/>
        </w:rPr>
        <w:t>把服务分包转包给其他机构或个人的；</w:t>
      </w:r>
    </w:p>
    <w:p w14:paraId="1A7133A0">
      <w:pPr>
        <w:ind w:firstLine="640" w:firstLineChars="200"/>
        <w:rPr>
          <w:rFonts w:hint="eastAsia"/>
          <w:color w:val="auto"/>
        </w:rPr>
      </w:pPr>
      <w:r>
        <w:rPr>
          <w:rFonts w:hint="eastAsia"/>
          <w:color w:val="auto"/>
          <w:lang w:val="en-US" w:eastAsia="zh-CN"/>
        </w:rPr>
        <w:t>8.</w:t>
      </w:r>
      <w:r>
        <w:rPr>
          <w:rFonts w:hint="eastAsia"/>
          <w:color w:val="auto"/>
        </w:rPr>
        <w:t>派出人员累计3人次被同一所学校提出更换的；</w:t>
      </w:r>
    </w:p>
    <w:p w14:paraId="3381FA1B">
      <w:pPr>
        <w:ind w:firstLine="640" w:firstLineChars="200"/>
        <w:rPr>
          <w:rFonts w:hint="eastAsia" w:eastAsia="仿宋_GB2312"/>
          <w:color w:val="auto"/>
          <w:lang w:eastAsia="zh-CN"/>
        </w:rPr>
      </w:pPr>
      <w:r>
        <w:rPr>
          <w:rFonts w:hint="eastAsia"/>
          <w:color w:val="auto"/>
          <w:lang w:val="en-US" w:eastAsia="zh-CN"/>
        </w:rPr>
        <w:t>9.</w:t>
      </w:r>
      <w:r>
        <w:rPr>
          <w:rFonts w:hint="eastAsia"/>
          <w:color w:val="auto"/>
        </w:rPr>
        <w:t>机构服务期间年检未通过或被主管部门处以责令停止招生、吊销办学许可证的</w:t>
      </w:r>
      <w:r>
        <w:rPr>
          <w:rFonts w:hint="eastAsia"/>
          <w:color w:val="auto"/>
          <w:lang w:eastAsia="zh-CN"/>
        </w:rPr>
        <w:t>；预收费监管评价为“黄牌”“红牌”的；</w:t>
      </w:r>
    </w:p>
    <w:p w14:paraId="7DE66E39">
      <w:pPr>
        <w:ind w:firstLine="640" w:firstLineChars="200"/>
        <w:rPr>
          <w:rFonts w:hint="eastAsia"/>
          <w:color w:val="auto"/>
        </w:rPr>
      </w:pPr>
      <w:r>
        <w:rPr>
          <w:rFonts w:hint="eastAsia"/>
          <w:color w:val="auto"/>
          <w:lang w:val="en-US" w:eastAsia="zh-CN"/>
        </w:rPr>
        <w:t>10.</w:t>
      </w:r>
      <w:r>
        <w:rPr>
          <w:rFonts w:hint="eastAsia"/>
          <w:color w:val="auto"/>
        </w:rPr>
        <w:t>机构因自身经营原因，人员、专业技术或服务设施已不能满足服务要求的；</w:t>
      </w:r>
    </w:p>
    <w:p w14:paraId="590E170C">
      <w:pPr>
        <w:ind w:firstLine="640" w:firstLineChars="200"/>
        <w:rPr>
          <w:rFonts w:hint="eastAsia"/>
          <w:color w:val="auto"/>
        </w:rPr>
      </w:pPr>
      <w:r>
        <w:rPr>
          <w:rFonts w:hint="eastAsia"/>
          <w:color w:val="auto"/>
          <w:lang w:val="en-US" w:eastAsia="zh-CN"/>
        </w:rPr>
        <w:t>11.</w:t>
      </w:r>
      <w:r>
        <w:rPr>
          <w:rFonts w:hint="eastAsia"/>
          <w:color w:val="auto"/>
        </w:rPr>
        <w:t>其他严重影响入校服务情形的。</w:t>
      </w:r>
    </w:p>
    <w:p w14:paraId="7693E062">
      <w:pPr>
        <w:ind w:firstLine="640" w:firstLineChars="200"/>
        <w:rPr>
          <w:rFonts w:hint="eastAsia"/>
          <w:color w:val="auto"/>
        </w:rPr>
      </w:pPr>
      <w:r>
        <w:rPr>
          <w:rFonts w:hint="eastAsia"/>
          <w:color w:val="auto"/>
        </w:rPr>
        <w:t>被终止合作的第三方机构，由</w:t>
      </w:r>
      <w:r>
        <w:rPr>
          <w:rFonts w:hint="eastAsia"/>
          <w:color w:val="auto"/>
          <w:lang w:val="en-US" w:eastAsia="zh-CN"/>
        </w:rPr>
        <w:t>属地</w:t>
      </w:r>
      <w:r>
        <w:rPr>
          <w:rFonts w:hint="eastAsia"/>
          <w:color w:val="auto"/>
          <w:lang w:eastAsia="zh-CN"/>
        </w:rPr>
        <w:t>教育行政</w:t>
      </w:r>
      <w:r>
        <w:rPr>
          <w:rFonts w:hint="eastAsia"/>
          <w:color w:val="auto"/>
          <w:lang w:val="en-US" w:eastAsia="zh-CN"/>
        </w:rPr>
        <w:t>主管</w:t>
      </w:r>
      <w:r>
        <w:rPr>
          <w:rFonts w:hint="eastAsia"/>
          <w:color w:val="auto"/>
          <w:lang w:eastAsia="zh-CN"/>
        </w:rPr>
        <w:t>部门</w:t>
      </w:r>
      <w:r>
        <w:rPr>
          <w:rFonts w:hint="eastAsia"/>
          <w:color w:val="auto"/>
        </w:rPr>
        <w:t>通过官方网站</w:t>
      </w:r>
      <w:r>
        <w:rPr>
          <w:rFonts w:hint="eastAsia"/>
          <w:color w:val="auto"/>
          <w:lang w:eastAsia="zh-CN"/>
        </w:rPr>
        <w:t>、</w:t>
      </w:r>
      <w:r>
        <w:rPr>
          <w:rFonts w:hint="eastAsia"/>
          <w:color w:val="auto"/>
          <w:lang w:val="en-US" w:eastAsia="zh-CN"/>
        </w:rPr>
        <w:t>微信公众号</w:t>
      </w:r>
      <w:r>
        <w:rPr>
          <w:rFonts w:hint="eastAsia"/>
          <w:color w:val="auto"/>
        </w:rPr>
        <w:t>等途径向社会公布，情节严重的，协调有关部门纳入失信名单。</w:t>
      </w:r>
    </w:p>
    <w:p w14:paraId="643B1CC2">
      <w:pPr>
        <w:pStyle w:val="9"/>
        <w:ind w:left="0" w:leftChars="0" w:firstLine="640" w:firstLineChars="0"/>
        <w:rPr>
          <w:rFonts w:hint="eastAsia"/>
          <w:color w:val="auto"/>
          <w:lang w:val="en-US" w:eastAsia="zh-CN"/>
        </w:rPr>
      </w:pPr>
      <w:r>
        <w:rPr>
          <w:rFonts w:hint="eastAsia"/>
          <w:color w:val="auto"/>
          <w:lang w:val="en-US" w:eastAsia="zh-CN"/>
        </w:rPr>
        <w:t>本办法自2025年 月 日施行。</w:t>
      </w:r>
    </w:p>
    <w:p w14:paraId="547DAA9B">
      <w:pPr>
        <w:pStyle w:val="9"/>
        <w:ind w:left="0" w:leftChars="0" w:firstLine="640" w:firstLineChars="0"/>
        <w:rPr>
          <w:rFonts w:hint="default"/>
          <w:color w:val="auto"/>
          <w:lang w:val="en-US" w:eastAsia="zh-CN"/>
        </w:rPr>
      </w:pPr>
    </w:p>
    <w:p w14:paraId="01843830">
      <w:pPr>
        <w:ind w:left="1600" w:leftChars="200" w:hanging="960" w:hangingChars="300"/>
        <w:jc w:val="both"/>
        <w:rPr>
          <w:rFonts w:hint="eastAsia"/>
          <w:color w:val="auto"/>
        </w:rPr>
      </w:pPr>
      <w:r>
        <w:rPr>
          <w:rFonts w:hint="eastAsia" w:ascii="仿宋_GB2312" w:hAnsi="仿宋_GB2312" w:cs="仿宋_GB2312"/>
          <w:color w:val="auto"/>
        </w:rPr>
        <w:t>附件：</w:t>
      </w:r>
      <w:r>
        <w:rPr>
          <w:rFonts w:hint="eastAsia"/>
          <w:color w:val="auto"/>
        </w:rPr>
        <w:t>泰安市非学科类校外教育培训机构参与课后服务申请表</w:t>
      </w:r>
    </w:p>
    <w:p w14:paraId="3248F59D">
      <w:pPr>
        <w:ind w:firstLine="640" w:firstLineChars="200"/>
        <w:rPr>
          <w:rFonts w:hint="eastAsia"/>
          <w:color w:val="auto"/>
        </w:rPr>
      </w:pPr>
    </w:p>
    <w:p w14:paraId="33A3E8C0">
      <w:pPr>
        <w:ind w:firstLine="640" w:firstLineChars="200"/>
        <w:rPr>
          <w:rFonts w:hint="eastAsia"/>
          <w:color w:val="auto"/>
        </w:rPr>
      </w:pPr>
    </w:p>
    <w:p w14:paraId="4C846616">
      <w:pPr>
        <w:ind w:firstLine="640" w:firstLineChars="200"/>
        <w:rPr>
          <w:rFonts w:hint="eastAsia"/>
          <w:color w:val="auto"/>
        </w:rPr>
      </w:pPr>
    </w:p>
    <w:p w14:paraId="481013C2">
      <w:pPr>
        <w:ind w:firstLine="640" w:firstLineChars="200"/>
        <w:rPr>
          <w:rFonts w:hint="eastAsia"/>
          <w:color w:val="auto"/>
        </w:rPr>
      </w:pPr>
    </w:p>
    <w:p w14:paraId="149E7911">
      <w:pPr>
        <w:ind w:firstLine="640" w:firstLineChars="200"/>
        <w:rPr>
          <w:rFonts w:hint="eastAsia"/>
          <w:color w:val="auto"/>
        </w:rPr>
      </w:pPr>
    </w:p>
    <w:p w14:paraId="0A118562">
      <w:pPr>
        <w:ind w:firstLine="640" w:firstLineChars="200"/>
        <w:rPr>
          <w:rFonts w:hint="eastAsia"/>
          <w:color w:val="auto"/>
        </w:rPr>
      </w:pPr>
    </w:p>
    <w:p w14:paraId="761D008D">
      <w:pPr>
        <w:spacing w:line="560" w:lineRule="exact"/>
        <w:rPr>
          <w:rFonts w:hint="eastAsia" w:ascii="CESI黑体-GB2312" w:hAnsi="CESI黑体-GB2312" w:eastAsia="CESI黑体-GB2312" w:cs="CESI黑体-GB2312"/>
          <w:bCs/>
          <w:color w:val="auto"/>
          <w:sz w:val="32"/>
          <w:szCs w:val="32"/>
        </w:rPr>
      </w:pPr>
      <w:r>
        <w:rPr>
          <w:rFonts w:hint="eastAsia" w:ascii="CESI黑体-GB2312" w:hAnsi="CESI黑体-GB2312" w:eastAsia="CESI黑体-GB2312" w:cs="CESI黑体-GB2312"/>
          <w:bCs/>
          <w:color w:val="auto"/>
          <w:sz w:val="32"/>
          <w:szCs w:val="32"/>
        </w:rPr>
        <w:t>附件</w:t>
      </w:r>
    </w:p>
    <w:p w14:paraId="33150E8D">
      <w:pPr>
        <w:spacing w:line="590" w:lineRule="exact"/>
        <w:jc w:val="center"/>
        <w:rPr>
          <w:rFonts w:hint="eastAsia" w:ascii="方正小标宋简体" w:hAnsi="方正小标宋简体" w:eastAsia="方正小标宋简体" w:cs="方正小标宋简体"/>
          <w:color w:val="auto"/>
          <w:sz w:val="44"/>
          <w:szCs w:val="44"/>
          <w:lang w:eastAsia="zh-CN"/>
        </w:rPr>
      </w:pPr>
    </w:p>
    <w:p w14:paraId="066EFE98">
      <w:pPr>
        <w:spacing w:line="59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泰安市非学科类</w:t>
      </w:r>
      <w:r>
        <w:rPr>
          <w:rFonts w:hint="eastAsia" w:ascii="方正小标宋简体" w:hAnsi="方正小标宋简体" w:eastAsia="方正小标宋简体" w:cs="方正小标宋简体"/>
          <w:color w:val="auto"/>
          <w:sz w:val="44"/>
          <w:szCs w:val="44"/>
        </w:rPr>
        <w:t>校外</w:t>
      </w:r>
      <w:r>
        <w:rPr>
          <w:rFonts w:hint="eastAsia" w:ascii="方正小标宋简体" w:hAnsi="方正小标宋简体" w:eastAsia="方正小标宋简体" w:cs="方正小标宋简体"/>
          <w:color w:val="auto"/>
          <w:sz w:val="44"/>
          <w:szCs w:val="44"/>
          <w:lang w:eastAsia="zh-CN"/>
        </w:rPr>
        <w:t>教育</w:t>
      </w:r>
      <w:r>
        <w:rPr>
          <w:rFonts w:hint="eastAsia" w:ascii="方正小标宋简体" w:hAnsi="方正小标宋简体" w:eastAsia="方正小标宋简体" w:cs="方正小标宋简体"/>
          <w:color w:val="auto"/>
          <w:sz w:val="44"/>
          <w:szCs w:val="44"/>
        </w:rPr>
        <w:t>培训机构参与</w:t>
      </w:r>
    </w:p>
    <w:p w14:paraId="3E6E6D56">
      <w:pPr>
        <w:spacing w:line="590" w:lineRule="exact"/>
        <w:jc w:val="center"/>
        <w:rPr>
          <w:rFonts w:hint="eastAsia" w:ascii="华文彩云" w:hAnsi="华文彩云" w:eastAsia="华文彩云" w:cs="华文彩云"/>
          <w:color w:val="auto"/>
          <w:sz w:val="44"/>
          <w:szCs w:val="44"/>
        </w:rPr>
      </w:pPr>
      <w:r>
        <w:rPr>
          <w:rFonts w:hint="eastAsia" w:ascii="方正小标宋简体" w:hAnsi="方正小标宋简体" w:eastAsia="方正小标宋简体" w:cs="方正小标宋简体"/>
          <w:color w:val="auto"/>
          <w:sz w:val="44"/>
          <w:szCs w:val="44"/>
        </w:rPr>
        <w:t>课后服务申请表</w:t>
      </w:r>
    </w:p>
    <w:tbl>
      <w:tblPr>
        <w:tblStyle w:val="10"/>
        <w:tblW w:w="9757" w:type="dxa"/>
        <w:tblInd w:w="-631" w:type="dxa"/>
        <w:tblLayout w:type="fixed"/>
        <w:tblCellMar>
          <w:top w:w="0" w:type="dxa"/>
          <w:left w:w="0" w:type="dxa"/>
          <w:bottom w:w="0" w:type="dxa"/>
          <w:right w:w="0" w:type="dxa"/>
        </w:tblCellMar>
      </w:tblPr>
      <w:tblGrid>
        <w:gridCol w:w="1177"/>
        <w:gridCol w:w="691"/>
        <w:gridCol w:w="691"/>
        <w:gridCol w:w="693"/>
        <w:gridCol w:w="745"/>
        <w:gridCol w:w="690"/>
        <w:gridCol w:w="720"/>
        <w:gridCol w:w="1245"/>
        <w:gridCol w:w="3105"/>
      </w:tblGrid>
      <w:tr w14:paraId="4E5DD704">
        <w:tblPrEx>
          <w:tblCellMar>
            <w:top w:w="0" w:type="dxa"/>
            <w:left w:w="0" w:type="dxa"/>
            <w:bottom w:w="0" w:type="dxa"/>
            <w:right w:w="0" w:type="dxa"/>
          </w:tblCellMar>
        </w:tblPrEx>
        <w:trPr>
          <w:trHeight w:val="492"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87CB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lang w:bidi="ar"/>
              </w:rPr>
              <w:t>机构名称</w:t>
            </w:r>
          </w:p>
        </w:tc>
        <w:tc>
          <w:tcPr>
            <w:tcW w:w="35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B7A04">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c>
          <w:tcPr>
            <w:tcW w:w="19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D065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lang w:bidi="ar"/>
              </w:rPr>
              <w:t>机构地址</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0AE23">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r>
      <w:tr w14:paraId="6E7F2EE7">
        <w:tblPrEx>
          <w:tblCellMar>
            <w:top w:w="0" w:type="dxa"/>
            <w:left w:w="0" w:type="dxa"/>
            <w:bottom w:w="0" w:type="dxa"/>
            <w:right w:w="0" w:type="dxa"/>
          </w:tblCellMar>
        </w:tblPrEx>
        <w:trPr>
          <w:trHeight w:val="511"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AD18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开办日期</w:t>
            </w:r>
          </w:p>
        </w:tc>
        <w:tc>
          <w:tcPr>
            <w:tcW w:w="35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249EB">
            <w:pPr>
              <w:keepNext w:val="0"/>
              <w:keepLines w:val="0"/>
              <w:pageBreakBefore w:val="0"/>
              <w:kinsoku/>
              <w:wordWrap/>
              <w:overflowPunct/>
              <w:topLinePunct w:val="0"/>
              <w:autoSpaceDE/>
              <w:autoSpaceDN/>
              <w:bidi w:val="0"/>
              <w:adjustRightInd/>
              <w:snapToGrid/>
              <w:spacing w:line="400" w:lineRule="exact"/>
              <w:jc w:val="center"/>
              <w:rPr>
                <w:color w:val="auto"/>
                <w:sz w:val="20"/>
                <w:szCs w:val="20"/>
              </w:rPr>
            </w:pPr>
          </w:p>
        </w:tc>
        <w:tc>
          <w:tcPr>
            <w:tcW w:w="19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243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联系电话</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73EFE">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r>
      <w:tr w14:paraId="4AB8425E">
        <w:tblPrEx>
          <w:tblCellMar>
            <w:top w:w="0" w:type="dxa"/>
            <w:left w:w="0" w:type="dxa"/>
            <w:bottom w:w="0" w:type="dxa"/>
            <w:right w:w="0" w:type="dxa"/>
          </w:tblCellMar>
        </w:tblPrEx>
        <w:trPr>
          <w:trHeight w:val="511"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86F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0"/>
                <w:szCs w:val="20"/>
              </w:rPr>
            </w:pPr>
            <w:r>
              <w:rPr>
                <w:rFonts w:hint="eastAsia" w:ascii="黑体" w:hAnsi="黑体" w:eastAsia="黑体" w:cs="黑体"/>
                <w:color w:val="auto"/>
                <w:kern w:val="0"/>
                <w:sz w:val="24"/>
                <w:lang w:bidi="ar"/>
              </w:rPr>
              <w:t>机构法人</w:t>
            </w:r>
          </w:p>
        </w:tc>
        <w:tc>
          <w:tcPr>
            <w:tcW w:w="35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A1A59">
            <w:pPr>
              <w:keepNext w:val="0"/>
              <w:keepLines w:val="0"/>
              <w:pageBreakBefore w:val="0"/>
              <w:kinsoku/>
              <w:wordWrap/>
              <w:overflowPunct/>
              <w:topLinePunct w:val="0"/>
              <w:autoSpaceDE/>
              <w:autoSpaceDN/>
              <w:bidi w:val="0"/>
              <w:adjustRightInd/>
              <w:snapToGrid/>
              <w:spacing w:line="400" w:lineRule="exact"/>
              <w:jc w:val="center"/>
              <w:rPr>
                <w:color w:val="auto"/>
                <w:sz w:val="20"/>
                <w:szCs w:val="20"/>
              </w:rPr>
            </w:pPr>
          </w:p>
        </w:tc>
        <w:tc>
          <w:tcPr>
            <w:tcW w:w="19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234A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lang w:bidi="ar"/>
              </w:rPr>
              <w:t>法人身份证号</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CF174">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r>
      <w:tr w14:paraId="1C1F23B8">
        <w:tblPrEx>
          <w:tblCellMar>
            <w:top w:w="0" w:type="dxa"/>
            <w:left w:w="0" w:type="dxa"/>
            <w:bottom w:w="0" w:type="dxa"/>
            <w:right w:w="0" w:type="dxa"/>
          </w:tblCellMar>
        </w:tblPrEx>
        <w:trPr>
          <w:trHeight w:val="593"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77F50">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办学许可证号</w:t>
            </w:r>
          </w:p>
        </w:tc>
        <w:tc>
          <w:tcPr>
            <w:tcW w:w="35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F78D4">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c>
          <w:tcPr>
            <w:tcW w:w="19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36CB9">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sz w:val="24"/>
              </w:rPr>
            </w:pPr>
            <w:r>
              <w:rPr>
                <w:rFonts w:hint="eastAsia" w:ascii="黑体" w:hAnsi="黑体" w:eastAsia="黑体" w:cs="黑体"/>
                <w:color w:val="auto"/>
                <w:sz w:val="24"/>
              </w:rPr>
              <w:t>发证机关</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A636D">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r>
      <w:tr w14:paraId="759304C0">
        <w:tblPrEx>
          <w:tblCellMar>
            <w:top w:w="0" w:type="dxa"/>
            <w:left w:w="0" w:type="dxa"/>
            <w:bottom w:w="0" w:type="dxa"/>
            <w:right w:w="0" w:type="dxa"/>
          </w:tblCellMar>
        </w:tblPrEx>
        <w:trPr>
          <w:trHeight w:val="593"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B52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办学内容</w:t>
            </w:r>
          </w:p>
        </w:tc>
        <w:tc>
          <w:tcPr>
            <w:tcW w:w="35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4E4E1">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c>
          <w:tcPr>
            <w:tcW w:w="19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0C5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kern w:val="0"/>
                <w:sz w:val="24"/>
                <w:lang w:bidi="ar"/>
              </w:rPr>
            </w:pPr>
            <w:r>
              <w:rPr>
                <w:rFonts w:hint="eastAsia" w:ascii="黑体" w:hAnsi="黑体" w:eastAsia="黑体" w:cs="黑体"/>
                <w:color w:val="auto"/>
                <w:sz w:val="24"/>
              </w:rPr>
              <w:t>办学许可证有效期</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36ACD">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r>
      <w:tr w14:paraId="4E4E10BC">
        <w:tblPrEx>
          <w:tblCellMar>
            <w:top w:w="0" w:type="dxa"/>
            <w:left w:w="0" w:type="dxa"/>
            <w:bottom w:w="0" w:type="dxa"/>
            <w:right w:w="0" w:type="dxa"/>
          </w:tblCellMar>
        </w:tblPrEx>
        <w:trPr>
          <w:trHeight w:val="593"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A35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lang w:bidi="ar"/>
              </w:rPr>
              <w:t>统一社会信用代码</w:t>
            </w:r>
          </w:p>
        </w:tc>
        <w:tc>
          <w:tcPr>
            <w:tcW w:w="351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C4330">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c>
          <w:tcPr>
            <w:tcW w:w="19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07C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lang w:bidi="ar"/>
              </w:rPr>
              <w:t>发证部门</w:t>
            </w:r>
          </w:p>
        </w:tc>
        <w:tc>
          <w:tcPr>
            <w:tcW w:w="31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23C65">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r>
      <w:tr w14:paraId="11F3A026">
        <w:tblPrEx>
          <w:tblCellMar>
            <w:top w:w="0" w:type="dxa"/>
            <w:left w:w="0" w:type="dxa"/>
            <w:bottom w:w="0" w:type="dxa"/>
            <w:right w:w="0" w:type="dxa"/>
          </w:tblCellMar>
        </w:tblPrEx>
        <w:trPr>
          <w:trHeight w:val="593"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BE6C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sz w:val="24"/>
              </w:rPr>
              <w:t>年检情况</w:t>
            </w:r>
          </w:p>
        </w:tc>
        <w:tc>
          <w:tcPr>
            <w:tcW w:w="858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C5085">
            <w:pPr>
              <w:keepNext w:val="0"/>
              <w:keepLines w:val="0"/>
              <w:pageBreakBefore w:val="0"/>
              <w:kinsoku/>
              <w:wordWrap/>
              <w:overflowPunct/>
              <w:topLinePunct w:val="0"/>
              <w:autoSpaceDE/>
              <w:autoSpaceDN/>
              <w:bidi w:val="0"/>
              <w:adjustRightInd/>
              <w:snapToGrid/>
              <w:spacing w:line="400" w:lineRule="exact"/>
              <w:rPr>
                <w:rFonts w:hAnsi="宋体" w:cs="宋体"/>
                <w:color w:val="auto"/>
                <w:sz w:val="24"/>
              </w:rPr>
            </w:pPr>
          </w:p>
        </w:tc>
      </w:tr>
      <w:tr w14:paraId="52E9A540">
        <w:tblPrEx>
          <w:tblCellMar>
            <w:top w:w="0" w:type="dxa"/>
            <w:left w:w="0" w:type="dxa"/>
            <w:bottom w:w="0" w:type="dxa"/>
            <w:right w:w="0" w:type="dxa"/>
          </w:tblCellMar>
        </w:tblPrEx>
        <w:trPr>
          <w:trHeight w:val="1471"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1308B">
            <w:pPr>
              <w:widowControl/>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办学基本情况</w:t>
            </w:r>
          </w:p>
        </w:tc>
        <w:tc>
          <w:tcPr>
            <w:tcW w:w="858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30018">
            <w:pPr>
              <w:rPr>
                <w:rFonts w:ascii="黑体" w:hAnsi="黑体" w:eastAsia="黑体" w:cs="黑体"/>
                <w:color w:val="auto"/>
                <w:sz w:val="24"/>
              </w:rPr>
            </w:pPr>
          </w:p>
        </w:tc>
      </w:tr>
      <w:tr w14:paraId="44C65B84">
        <w:tblPrEx>
          <w:tblCellMar>
            <w:top w:w="0" w:type="dxa"/>
            <w:left w:w="0" w:type="dxa"/>
            <w:bottom w:w="0" w:type="dxa"/>
            <w:right w:w="0" w:type="dxa"/>
          </w:tblCellMar>
        </w:tblPrEx>
        <w:trPr>
          <w:trHeight w:val="698" w:hRule="atLeast"/>
        </w:trPr>
        <w:tc>
          <w:tcPr>
            <w:tcW w:w="117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3B1DD5">
            <w:pPr>
              <w:widowControl/>
              <w:jc w:val="center"/>
              <w:textAlignment w:val="center"/>
              <w:rPr>
                <w:rFonts w:ascii="黑体" w:hAnsi="黑体" w:eastAsia="黑体" w:cs="黑体"/>
                <w:color w:val="auto"/>
                <w:kern w:val="0"/>
                <w:sz w:val="24"/>
                <w:lang w:bidi="ar"/>
              </w:rPr>
            </w:pPr>
            <w:r>
              <w:rPr>
                <w:rFonts w:hint="eastAsia" w:ascii="黑体" w:hAnsi="黑体" w:eastAsia="黑体" w:cs="黑体"/>
                <w:color w:val="auto"/>
                <w:kern w:val="0"/>
                <w:sz w:val="24"/>
                <w:lang w:bidi="ar"/>
              </w:rPr>
              <w:t>课程设置情况</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977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lang w:bidi="ar"/>
              </w:rPr>
              <w:t>课程名称</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09410">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sz w:val="24"/>
              </w:rPr>
            </w:pPr>
            <w:r>
              <w:rPr>
                <w:rFonts w:hint="eastAsia" w:ascii="黑体" w:hAnsi="黑体" w:eastAsia="黑体" w:cs="黑体"/>
                <w:color w:val="auto"/>
                <w:sz w:val="24"/>
              </w:rPr>
              <w:t>周课时数</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7EDDD">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kern w:val="0"/>
                <w:sz w:val="24"/>
                <w:lang w:bidi="ar"/>
              </w:rPr>
            </w:pPr>
            <w:r>
              <w:rPr>
                <w:rFonts w:hint="eastAsia" w:ascii="黑体" w:hAnsi="黑体" w:eastAsia="黑体" w:cs="黑体"/>
                <w:color w:val="auto"/>
                <w:sz w:val="24"/>
              </w:rPr>
              <w:t>适合年级</w:t>
            </w:r>
          </w:p>
        </w:tc>
        <w:tc>
          <w:tcPr>
            <w:tcW w:w="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F8FE4">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sz w:val="24"/>
              </w:rPr>
            </w:pPr>
            <w:r>
              <w:rPr>
                <w:rFonts w:hint="eastAsia" w:ascii="黑体" w:hAnsi="黑体" w:eastAsia="黑体" w:cs="黑体"/>
                <w:color w:val="auto"/>
                <w:sz w:val="24"/>
              </w:rPr>
              <w:t>班额上限</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9595B">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sz w:val="24"/>
              </w:rPr>
            </w:pPr>
            <w:r>
              <w:rPr>
                <w:rFonts w:hint="eastAsia" w:ascii="黑体" w:hAnsi="黑体" w:eastAsia="黑体" w:cs="黑体"/>
                <w:color w:val="auto"/>
                <w:sz w:val="24"/>
              </w:rPr>
              <w:t>收费标准</w:t>
            </w:r>
          </w:p>
          <w:p w14:paraId="5D34D672">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sz w:val="24"/>
              </w:rPr>
            </w:pPr>
            <w:r>
              <w:rPr>
                <w:rFonts w:hint="eastAsia" w:ascii="黑体" w:hAnsi="黑体" w:eastAsia="黑体" w:cs="黑体"/>
                <w:color w:val="auto"/>
                <w:sz w:val="18"/>
                <w:szCs w:val="18"/>
              </w:rPr>
              <w:t>（元/课时/人）</w:t>
            </w:r>
          </w:p>
        </w:tc>
        <w:tc>
          <w:tcPr>
            <w:tcW w:w="4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D8B2C">
            <w:pPr>
              <w:keepNext w:val="0"/>
              <w:keepLines w:val="0"/>
              <w:pageBreakBefore w:val="0"/>
              <w:kinsoku/>
              <w:wordWrap/>
              <w:overflowPunct/>
              <w:topLinePunct w:val="0"/>
              <w:autoSpaceDE/>
              <w:autoSpaceDN/>
              <w:bidi w:val="0"/>
              <w:adjustRightInd/>
              <w:snapToGrid/>
              <w:spacing w:line="400" w:lineRule="exact"/>
              <w:jc w:val="center"/>
              <w:rPr>
                <w:rFonts w:ascii="黑体" w:hAnsi="黑体" w:eastAsia="黑体" w:cs="黑体"/>
                <w:color w:val="auto"/>
                <w:sz w:val="24"/>
              </w:rPr>
            </w:pPr>
            <w:r>
              <w:rPr>
                <w:rFonts w:hint="eastAsia" w:ascii="黑体" w:hAnsi="黑体" w:eastAsia="黑体" w:cs="黑体"/>
                <w:color w:val="auto"/>
                <w:sz w:val="24"/>
              </w:rPr>
              <w:t>教师资质</w:t>
            </w:r>
          </w:p>
        </w:tc>
      </w:tr>
      <w:tr w14:paraId="124A23D2">
        <w:tblPrEx>
          <w:tblCellMar>
            <w:top w:w="0" w:type="dxa"/>
            <w:left w:w="0" w:type="dxa"/>
            <w:bottom w:w="0" w:type="dxa"/>
            <w:right w:w="0" w:type="dxa"/>
          </w:tblCellMar>
        </w:tblPrEx>
        <w:trPr>
          <w:trHeight w:val="598" w:hRule="atLeast"/>
        </w:trPr>
        <w:tc>
          <w:tcPr>
            <w:tcW w:w="1177" w:type="dxa"/>
            <w:vMerge w:val="continue"/>
            <w:tcBorders>
              <w:left w:val="single" w:color="000000" w:sz="4" w:space="0"/>
              <w:right w:val="single" w:color="000000" w:sz="4" w:space="0"/>
            </w:tcBorders>
            <w:tcMar>
              <w:top w:w="15" w:type="dxa"/>
              <w:left w:w="15" w:type="dxa"/>
              <w:right w:w="15" w:type="dxa"/>
            </w:tcMar>
            <w:vAlign w:val="center"/>
          </w:tcPr>
          <w:p w14:paraId="6139CA4E">
            <w:pPr>
              <w:widowControl/>
              <w:jc w:val="center"/>
              <w:textAlignment w:val="center"/>
              <w:rPr>
                <w:rFonts w:ascii="Calibri" w:hAnsi="宋体" w:cs="宋体"/>
                <w:color w:val="auto"/>
                <w:kern w:val="0"/>
                <w:sz w:val="24"/>
                <w:lang w:bidi="ar"/>
              </w:rPr>
            </w:pP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AECC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Ansi="宋体" w:cs="宋体"/>
                <w:color w:val="auto"/>
                <w:sz w:val="24"/>
              </w:rPr>
            </w:pPr>
            <w:r>
              <w:rPr>
                <w:rFonts w:hint="eastAsia" w:ascii="Calibri" w:hAnsi="宋体" w:cs="宋体"/>
                <w:color w:val="auto"/>
                <w:kern w:val="0"/>
                <w:sz w:val="24"/>
                <w:lang w:bidi="ar"/>
              </w:rPr>
              <w:t xml:space="preserve"> </w:t>
            </w: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60BF1">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r>
              <w:rPr>
                <w:rFonts w:hint="eastAsia" w:hAnsi="宋体" w:cs="宋体"/>
                <w:color w:val="auto"/>
                <w:sz w:val="24"/>
              </w:rPr>
              <w:t xml:space="preserve"> </w:t>
            </w: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073B1">
            <w:pPr>
              <w:keepNext w:val="0"/>
              <w:keepLines w:val="0"/>
              <w:pageBreakBefore w:val="0"/>
              <w:kinsoku/>
              <w:wordWrap/>
              <w:overflowPunct/>
              <w:topLinePunct w:val="0"/>
              <w:autoSpaceDE/>
              <w:autoSpaceDN/>
              <w:bidi w:val="0"/>
              <w:adjustRightInd/>
              <w:snapToGrid/>
              <w:spacing w:line="400" w:lineRule="exact"/>
              <w:jc w:val="center"/>
              <w:rPr>
                <w:rFonts w:ascii="Calibri" w:hAnsi="宋体" w:cs="宋体"/>
                <w:color w:val="auto"/>
                <w:kern w:val="0"/>
                <w:sz w:val="24"/>
                <w:lang w:bidi="ar"/>
              </w:rPr>
            </w:pPr>
            <w:r>
              <w:rPr>
                <w:rFonts w:hint="eastAsia" w:hAnsi="宋体" w:cs="宋体"/>
                <w:color w:val="auto"/>
                <w:sz w:val="24"/>
              </w:rPr>
              <w:t xml:space="preserve"> </w:t>
            </w:r>
          </w:p>
        </w:tc>
        <w:tc>
          <w:tcPr>
            <w:tcW w:w="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2C44E">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r>
              <w:rPr>
                <w:rFonts w:hint="eastAsia" w:ascii="Calibri" w:hAnsi="宋体" w:cs="宋体"/>
                <w:color w:val="auto"/>
                <w:kern w:val="0"/>
                <w:sz w:val="24"/>
                <w:lang w:bidi="ar"/>
              </w:rPr>
              <w:t xml:space="preserve"> </w:t>
            </w: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C1C33">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p>
        </w:tc>
        <w:tc>
          <w:tcPr>
            <w:tcW w:w="4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544CA">
            <w:pPr>
              <w:keepNext w:val="0"/>
              <w:keepLines w:val="0"/>
              <w:pageBreakBefore w:val="0"/>
              <w:kinsoku/>
              <w:wordWrap/>
              <w:overflowPunct/>
              <w:topLinePunct w:val="0"/>
              <w:autoSpaceDE/>
              <w:autoSpaceDN/>
              <w:bidi w:val="0"/>
              <w:adjustRightInd/>
              <w:snapToGrid/>
              <w:spacing w:line="400" w:lineRule="exact"/>
              <w:jc w:val="center"/>
              <w:rPr>
                <w:rFonts w:hAnsi="宋体" w:cs="宋体"/>
                <w:color w:val="auto"/>
                <w:sz w:val="24"/>
              </w:rPr>
            </w:pPr>
            <w:r>
              <w:rPr>
                <w:rFonts w:hint="eastAsia" w:hAnsi="宋体" w:cs="宋体"/>
                <w:color w:val="auto"/>
                <w:sz w:val="24"/>
              </w:rPr>
              <w:t xml:space="preserve"> </w:t>
            </w:r>
          </w:p>
        </w:tc>
      </w:tr>
      <w:tr w14:paraId="60ADCCCC">
        <w:tblPrEx>
          <w:tblCellMar>
            <w:top w:w="0" w:type="dxa"/>
            <w:left w:w="0" w:type="dxa"/>
            <w:bottom w:w="0" w:type="dxa"/>
            <w:right w:w="0" w:type="dxa"/>
          </w:tblCellMar>
        </w:tblPrEx>
        <w:trPr>
          <w:trHeight w:val="598" w:hRule="atLeast"/>
        </w:trPr>
        <w:tc>
          <w:tcPr>
            <w:tcW w:w="1177" w:type="dxa"/>
            <w:vMerge w:val="continue"/>
            <w:tcBorders>
              <w:left w:val="single" w:color="000000" w:sz="4" w:space="0"/>
              <w:right w:val="single" w:color="000000" w:sz="4" w:space="0"/>
            </w:tcBorders>
            <w:tcMar>
              <w:top w:w="15" w:type="dxa"/>
              <w:left w:w="15" w:type="dxa"/>
              <w:right w:w="15" w:type="dxa"/>
            </w:tcMar>
            <w:vAlign w:val="center"/>
          </w:tcPr>
          <w:p w14:paraId="4D0D4354">
            <w:pPr>
              <w:widowControl/>
              <w:jc w:val="center"/>
              <w:textAlignment w:val="center"/>
              <w:rPr>
                <w:rFonts w:ascii="Calibri" w:hAnsi="宋体" w:cs="宋体"/>
                <w:color w:val="auto"/>
                <w:kern w:val="0"/>
                <w:sz w:val="24"/>
                <w:lang w:bidi="ar"/>
              </w:rPr>
            </w:pP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1766B">
            <w:pPr>
              <w:widowControl/>
              <w:jc w:val="center"/>
              <w:textAlignment w:val="center"/>
              <w:rPr>
                <w:rFonts w:hAnsi="宋体" w:cs="宋体"/>
                <w:color w:val="auto"/>
                <w:sz w:val="24"/>
              </w:rPr>
            </w:pPr>
          </w:p>
        </w:tc>
        <w:tc>
          <w:tcPr>
            <w:tcW w:w="6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470B6">
            <w:pPr>
              <w:jc w:val="center"/>
              <w:rPr>
                <w:rFonts w:hAnsi="宋体" w:cs="宋体"/>
                <w:color w:val="auto"/>
                <w:sz w:val="24"/>
              </w:rPr>
            </w:pPr>
          </w:p>
        </w:tc>
        <w:tc>
          <w:tcPr>
            <w:tcW w:w="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CFD0C">
            <w:pPr>
              <w:jc w:val="center"/>
              <w:rPr>
                <w:rFonts w:ascii="Calibri" w:hAnsi="宋体" w:cs="宋体"/>
                <w:color w:val="auto"/>
                <w:kern w:val="0"/>
                <w:sz w:val="24"/>
                <w:lang w:bidi="ar"/>
              </w:rPr>
            </w:pPr>
          </w:p>
        </w:tc>
        <w:tc>
          <w:tcPr>
            <w:tcW w:w="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E74AA">
            <w:pPr>
              <w:jc w:val="center"/>
              <w:rPr>
                <w:rFonts w:hAnsi="宋体" w:cs="宋体"/>
                <w:color w:val="auto"/>
                <w:sz w:val="24"/>
              </w:rPr>
            </w:pPr>
          </w:p>
        </w:tc>
        <w:tc>
          <w:tcPr>
            <w:tcW w:w="14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85B73">
            <w:pPr>
              <w:jc w:val="center"/>
              <w:rPr>
                <w:rFonts w:hAnsi="宋体" w:cs="宋体"/>
                <w:color w:val="auto"/>
                <w:sz w:val="24"/>
              </w:rPr>
            </w:pPr>
          </w:p>
        </w:tc>
        <w:tc>
          <w:tcPr>
            <w:tcW w:w="43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5E2199">
            <w:pPr>
              <w:jc w:val="center"/>
              <w:rPr>
                <w:rFonts w:hAnsi="宋体" w:cs="宋体"/>
                <w:color w:val="auto"/>
                <w:sz w:val="24"/>
              </w:rPr>
            </w:pPr>
          </w:p>
        </w:tc>
      </w:tr>
      <w:tr w14:paraId="4FF1B384">
        <w:tblPrEx>
          <w:tblCellMar>
            <w:top w:w="0" w:type="dxa"/>
            <w:left w:w="0" w:type="dxa"/>
            <w:bottom w:w="0" w:type="dxa"/>
            <w:right w:w="0" w:type="dxa"/>
          </w:tblCellMar>
        </w:tblPrEx>
        <w:trPr>
          <w:trHeight w:val="3261" w:hRule="atLeast"/>
        </w:trPr>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9BA47">
            <w:pPr>
              <w:widowControl/>
              <w:jc w:val="center"/>
              <w:textAlignment w:val="top"/>
              <w:rPr>
                <w:rFonts w:ascii="黑体" w:hAnsi="黑体" w:eastAsia="黑体" w:cs="黑体"/>
                <w:color w:val="auto"/>
                <w:sz w:val="24"/>
              </w:rPr>
            </w:pPr>
            <w:r>
              <w:rPr>
                <w:rFonts w:hint="eastAsia" w:ascii="黑体" w:hAnsi="黑体" w:eastAsia="黑体" w:cs="黑体"/>
                <w:color w:val="auto"/>
                <w:sz w:val="24"/>
              </w:rPr>
              <w:t>诚信承诺</w:t>
            </w:r>
          </w:p>
        </w:tc>
        <w:tc>
          <w:tcPr>
            <w:tcW w:w="858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EE67BCD">
            <w:pPr>
              <w:widowControl/>
              <w:ind w:firstLine="560" w:firstLineChars="200"/>
              <w:jc w:val="left"/>
              <w:textAlignment w:val="top"/>
              <w:rPr>
                <w:rFonts w:ascii="宋体" w:hAnsi="宋体" w:cs="宋体"/>
                <w:color w:val="auto"/>
                <w:kern w:val="0"/>
                <w:sz w:val="28"/>
                <w:szCs w:val="28"/>
                <w:lang w:bidi="ar"/>
              </w:rPr>
            </w:pPr>
          </w:p>
          <w:p w14:paraId="1ED06B56">
            <w:pPr>
              <w:widowControl/>
              <w:ind w:firstLine="560" w:firstLineChars="200"/>
              <w:jc w:val="left"/>
              <w:textAlignment w:val="top"/>
              <w:rPr>
                <w:rFonts w:ascii="宋体" w:hAnsi="宋体" w:cs="宋体"/>
                <w:color w:val="auto"/>
                <w:kern w:val="0"/>
                <w:sz w:val="28"/>
                <w:szCs w:val="28"/>
                <w:lang w:bidi="ar"/>
              </w:rPr>
            </w:pPr>
            <w:r>
              <w:rPr>
                <w:rFonts w:hint="eastAsia" w:ascii="宋体" w:hAnsi="宋体" w:cs="宋体"/>
                <w:color w:val="auto"/>
                <w:kern w:val="0"/>
                <w:sz w:val="28"/>
                <w:szCs w:val="28"/>
                <w:lang w:bidi="ar"/>
              </w:rPr>
              <w:t xml:space="preserve">本机构提交的申报材料真实有效。如有虚假，后果自负。  </w:t>
            </w:r>
            <w:r>
              <w:rPr>
                <w:rFonts w:hint="eastAsia" w:ascii="宋体" w:hAnsi="宋体" w:cs="宋体"/>
                <w:color w:val="auto"/>
                <w:kern w:val="0"/>
                <w:sz w:val="28"/>
                <w:szCs w:val="28"/>
                <w:lang w:bidi="ar"/>
              </w:rPr>
              <w:br w:type="textWrapping"/>
            </w:r>
          </w:p>
          <w:p w14:paraId="7068CA97">
            <w:pPr>
              <w:widowControl/>
              <w:ind w:firstLine="560" w:firstLineChars="200"/>
              <w:jc w:val="left"/>
              <w:textAlignment w:val="top"/>
              <w:rPr>
                <w:rFonts w:ascii="Calibri" w:hAnsi="宋体" w:cs="宋体"/>
                <w:color w:val="auto"/>
                <w:kern w:val="0"/>
                <w:sz w:val="28"/>
                <w:szCs w:val="28"/>
                <w:lang w:bidi="ar"/>
              </w:rPr>
            </w:pPr>
            <w:r>
              <w:rPr>
                <w:rFonts w:hint="eastAsia" w:ascii="宋体" w:hAnsi="宋体" w:cs="宋体"/>
                <w:color w:val="auto"/>
                <w:kern w:val="0"/>
                <w:sz w:val="28"/>
                <w:szCs w:val="28"/>
                <w:lang w:bidi="ar"/>
              </w:rPr>
              <w:t>机构（盖章）负责人（签名）             年  月   日</w:t>
            </w:r>
          </w:p>
        </w:tc>
      </w:tr>
    </w:tbl>
    <w:p w14:paraId="3C15602B">
      <w:pPr>
        <w:rPr>
          <w:rFonts w:hint="default" w:eastAsia="仿宋_GB2312"/>
          <w:color w:val="auto"/>
          <w:u w:val="none"/>
          <w:lang w:val="en-US" w:eastAsia="zh-CN"/>
        </w:rPr>
      </w:pPr>
      <w:r>
        <w:rPr>
          <w:rFonts w:hint="eastAsia"/>
          <w:color w:val="auto"/>
          <w:sz w:val="21"/>
          <w:szCs w:val="21"/>
          <w:u w:val="none"/>
          <w:lang w:val="en-US" w:eastAsia="zh-CN"/>
        </w:rPr>
        <w:t>注：该表格</w:t>
      </w:r>
      <w:r>
        <w:rPr>
          <w:rFonts w:hint="eastAsia" w:ascii="仿宋_GB2312" w:hAnsi="仿宋_GB2312" w:cs="仿宋_GB2312"/>
          <w:color w:val="auto"/>
          <w:sz w:val="21"/>
          <w:szCs w:val="21"/>
          <w:u w:val="none"/>
          <w:lang w:val="en-US" w:eastAsia="zh-CN"/>
        </w:rPr>
        <w:t>每学期开学前两周</w:t>
      </w:r>
      <w:r>
        <w:rPr>
          <w:rFonts w:hint="eastAsia" w:ascii="仿宋_GB2312" w:hAnsi="仿宋_GB2312" w:cs="仿宋_GB2312"/>
          <w:color w:val="auto"/>
          <w:sz w:val="21"/>
          <w:szCs w:val="21"/>
          <w:u w:val="none"/>
          <w:lang w:eastAsia="zh-CN"/>
        </w:rPr>
        <w:t>报送</w:t>
      </w:r>
      <w:r>
        <w:rPr>
          <w:rFonts w:hint="eastAsia" w:ascii="仿宋_GB2312" w:hAnsi="仿宋_GB2312" w:cs="仿宋_GB2312"/>
          <w:color w:val="auto"/>
          <w:sz w:val="21"/>
          <w:szCs w:val="21"/>
          <w:u w:val="none"/>
          <w:lang w:val="en-US" w:eastAsia="zh-CN"/>
        </w:rPr>
        <w:t>属地教育主管部门，</w:t>
      </w:r>
      <w:r>
        <w:rPr>
          <w:rFonts w:hint="eastAsia" w:ascii="仿宋_GB2312" w:hAnsi="仿宋_GB2312" w:cs="仿宋_GB2312"/>
          <w:color w:val="auto"/>
          <w:sz w:val="21"/>
          <w:szCs w:val="21"/>
          <w:u w:val="none"/>
        </w:rPr>
        <w:t>逾期申报视为主动放弃</w:t>
      </w:r>
      <w:r>
        <w:rPr>
          <w:rFonts w:hint="eastAsia" w:ascii="仿宋_GB2312" w:hAnsi="仿宋_GB2312" w:cs="仿宋_GB2312"/>
          <w:color w:val="auto"/>
          <w:sz w:val="21"/>
          <w:szCs w:val="21"/>
          <w:u w:val="none"/>
          <w:lang w:eastAsia="zh-CN"/>
        </w:rPr>
        <w:t>参选资格</w:t>
      </w:r>
      <w:r>
        <w:rPr>
          <w:rFonts w:hint="eastAsia" w:ascii="仿宋_GB2312" w:hAnsi="仿宋_GB2312" w:cs="仿宋_GB2312"/>
          <w:color w:val="auto"/>
          <w:sz w:val="21"/>
          <w:szCs w:val="21"/>
          <w:u w:val="none"/>
        </w:rPr>
        <w:t>。</w:t>
      </w:r>
    </w:p>
    <w:sectPr>
      <w:footerReference r:id="rId5" w:type="default"/>
      <w:pgSz w:w="11906" w:h="16838"/>
      <w:pgMar w:top="1270" w:right="1800" w:bottom="127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隶书_GBK">
    <w:altName w:val="隶书"/>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汉仪平安行粗简">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06C1">
    <w:pPr>
      <w:spacing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MDBiODc2ODliZTBlNGNkZTFkZmQyMmRjNDEzMjEifQ=="/>
  </w:docVars>
  <w:rsids>
    <w:rsidRoot w:val="46CD3AA9"/>
    <w:rsid w:val="003543FD"/>
    <w:rsid w:val="00567B0D"/>
    <w:rsid w:val="005E5F73"/>
    <w:rsid w:val="00661DDD"/>
    <w:rsid w:val="007401CD"/>
    <w:rsid w:val="00CC3952"/>
    <w:rsid w:val="00E045C5"/>
    <w:rsid w:val="00FA37B8"/>
    <w:rsid w:val="024912E2"/>
    <w:rsid w:val="03500937"/>
    <w:rsid w:val="0368553F"/>
    <w:rsid w:val="03B409DD"/>
    <w:rsid w:val="0474269E"/>
    <w:rsid w:val="05073403"/>
    <w:rsid w:val="05951A18"/>
    <w:rsid w:val="05A041EE"/>
    <w:rsid w:val="05DB723D"/>
    <w:rsid w:val="05DF0A07"/>
    <w:rsid w:val="05E23C49"/>
    <w:rsid w:val="05FE5B5F"/>
    <w:rsid w:val="06C9675E"/>
    <w:rsid w:val="06E17D3B"/>
    <w:rsid w:val="0765146C"/>
    <w:rsid w:val="07740BAF"/>
    <w:rsid w:val="07905EBF"/>
    <w:rsid w:val="08742704"/>
    <w:rsid w:val="094D4341"/>
    <w:rsid w:val="09640079"/>
    <w:rsid w:val="09C64172"/>
    <w:rsid w:val="0B9108F5"/>
    <w:rsid w:val="0BBE4AEF"/>
    <w:rsid w:val="0C915D60"/>
    <w:rsid w:val="0CFD3ACC"/>
    <w:rsid w:val="0D2F2E08"/>
    <w:rsid w:val="0DDD7710"/>
    <w:rsid w:val="0E261694"/>
    <w:rsid w:val="0EAB36FC"/>
    <w:rsid w:val="0FA61B22"/>
    <w:rsid w:val="0FF3E6DE"/>
    <w:rsid w:val="10A1053B"/>
    <w:rsid w:val="11136A7F"/>
    <w:rsid w:val="111D1A6D"/>
    <w:rsid w:val="113E082B"/>
    <w:rsid w:val="12B11819"/>
    <w:rsid w:val="13694312"/>
    <w:rsid w:val="13ED41C3"/>
    <w:rsid w:val="148672EF"/>
    <w:rsid w:val="14FD19F9"/>
    <w:rsid w:val="15007F26"/>
    <w:rsid w:val="188249AD"/>
    <w:rsid w:val="19C91969"/>
    <w:rsid w:val="1AF32E6A"/>
    <w:rsid w:val="1B054119"/>
    <w:rsid w:val="1B541994"/>
    <w:rsid w:val="1C527A49"/>
    <w:rsid w:val="1E682698"/>
    <w:rsid w:val="1FAC5C1C"/>
    <w:rsid w:val="20235B78"/>
    <w:rsid w:val="211310C5"/>
    <w:rsid w:val="21274A8D"/>
    <w:rsid w:val="217740B5"/>
    <w:rsid w:val="229F6E90"/>
    <w:rsid w:val="231A4415"/>
    <w:rsid w:val="2406098A"/>
    <w:rsid w:val="25AD2192"/>
    <w:rsid w:val="25ED5F6E"/>
    <w:rsid w:val="27AE736E"/>
    <w:rsid w:val="27DA447C"/>
    <w:rsid w:val="284D3176"/>
    <w:rsid w:val="29187191"/>
    <w:rsid w:val="2A900FAD"/>
    <w:rsid w:val="2ACC1E12"/>
    <w:rsid w:val="2BB77ECF"/>
    <w:rsid w:val="2CF7026F"/>
    <w:rsid w:val="2D2D7CB8"/>
    <w:rsid w:val="2FE875A2"/>
    <w:rsid w:val="302F0F5F"/>
    <w:rsid w:val="30CA7324"/>
    <w:rsid w:val="314657A3"/>
    <w:rsid w:val="32313075"/>
    <w:rsid w:val="323B0398"/>
    <w:rsid w:val="32D85C9F"/>
    <w:rsid w:val="33646061"/>
    <w:rsid w:val="359E0064"/>
    <w:rsid w:val="35F85492"/>
    <w:rsid w:val="371FC34B"/>
    <w:rsid w:val="375D2B5F"/>
    <w:rsid w:val="3861238C"/>
    <w:rsid w:val="391A78E1"/>
    <w:rsid w:val="3D067765"/>
    <w:rsid w:val="3D0D46DF"/>
    <w:rsid w:val="3E201B6D"/>
    <w:rsid w:val="3E5136A8"/>
    <w:rsid w:val="3EFB5D1A"/>
    <w:rsid w:val="3FF806E4"/>
    <w:rsid w:val="424624D3"/>
    <w:rsid w:val="43D13335"/>
    <w:rsid w:val="44876224"/>
    <w:rsid w:val="453518D8"/>
    <w:rsid w:val="45C30323"/>
    <w:rsid w:val="46CD3AA9"/>
    <w:rsid w:val="46D1677D"/>
    <w:rsid w:val="47304DB2"/>
    <w:rsid w:val="478F0B12"/>
    <w:rsid w:val="47D6361F"/>
    <w:rsid w:val="47E35A7F"/>
    <w:rsid w:val="488B347E"/>
    <w:rsid w:val="48AB1789"/>
    <w:rsid w:val="48AE5D84"/>
    <w:rsid w:val="49333414"/>
    <w:rsid w:val="4C97052C"/>
    <w:rsid w:val="4D07440A"/>
    <w:rsid w:val="4D6D5069"/>
    <w:rsid w:val="4ED8596F"/>
    <w:rsid w:val="4EEBB490"/>
    <w:rsid w:val="501114A9"/>
    <w:rsid w:val="50491BDF"/>
    <w:rsid w:val="50C113D3"/>
    <w:rsid w:val="511B3417"/>
    <w:rsid w:val="514D7BAD"/>
    <w:rsid w:val="515D57DD"/>
    <w:rsid w:val="52752AAD"/>
    <w:rsid w:val="527F1798"/>
    <w:rsid w:val="535B39ED"/>
    <w:rsid w:val="53633DFC"/>
    <w:rsid w:val="5379601D"/>
    <w:rsid w:val="53C307E1"/>
    <w:rsid w:val="54340DFC"/>
    <w:rsid w:val="557A1D0A"/>
    <w:rsid w:val="55DBF557"/>
    <w:rsid w:val="55F732F7"/>
    <w:rsid w:val="56004989"/>
    <w:rsid w:val="567A7499"/>
    <w:rsid w:val="56CA56C3"/>
    <w:rsid w:val="57DF2ACA"/>
    <w:rsid w:val="59C77E38"/>
    <w:rsid w:val="5A0E29A0"/>
    <w:rsid w:val="5A4A0720"/>
    <w:rsid w:val="5B2916BE"/>
    <w:rsid w:val="5B5B0FE0"/>
    <w:rsid w:val="5BBFD92E"/>
    <w:rsid w:val="5BFB1E7B"/>
    <w:rsid w:val="5C457BE1"/>
    <w:rsid w:val="5C7F7FA3"/>
    <w:rsid w:val="5CDD9ADE"/>
    <w:rsid w:val="5DDB1036"/>
    <w:rsid w:val="5DF868AC"/>
    <w:rsid w:val="5F3B75A9"/>
    <w:rsid w:val="5FFF59FF"/>
    <w:rsid w:val="611C2FBF"/>
    <w:rsid w:val="611E4F69"/>
    <w:rsid w:val="612E22FF"/>
    <w:rsid w:val="616758EE"/>
    <w:rsid w:val="61CB0684"/>
    <w:rsid w:val="63FC6063"/>
    <w:rsid w:val="64496236"/>
    <w:rsid w:val="64501A5B"/>
    <w:rsid w:val="64C316FF"/>
    <w:rsid w:val="64F941C1"/>
    <w:rsid w:val="656F3A10"/>
    <w:rsid w:val="65987FED"/>
    <w:rsid w:val="65C2406A"/>
    <w:rsid w:val="65FFA006"/>
    <w:rsid w:val="66295D64"/>
    <w:rsid w:val="66EA3BEB"/>
    <w:rsid w:val="677940D4"/>
    <w:rsid w:val="68420BFD"/>
    <w:rsid w:val="68685A44"/>
    <w:rsid w:val="69490A07"/>
    <w:rsid w:val="69844254"/>
    <w:rsid w:val="6A9A4F34"/>
    <w:rsid w:val="6A9E57FA"/>
    <w:rsid w:val="6AA41543"/>
    <w:rsid w:val="6ACC5801"/>
    <w:rsid w:val="6AE9500A"/>
    <w:rsid w:val="6B5E41D4"/>
    <w:rsid w:val="6BA8027B"/>
    <w:rsid w:val="6BBF5214"/>
    <w:rsid w:val="6BDC70CD"/>
    <w:rsid w:val="6CD6744C"/>
    <w:rsid w:val="6E3F621D"/>
    <w:rsid w:val="6FCE7B7A"/>
    <w:rsid w:val="6FD808A4"/>
    <w:rsid w:val="6FDE0DDE"/>
    <w:rsid w:val="7138467F"/>
    <w:rsid w:val="72606D56"/>
    <w:rsid w:val="73960A45"/>
    <w:rsid w:val="739A3F53"/>
    <w:rsid w:val="73E5760B"/>
    <w:rsid w:val="73ED243B"/>
    <w:rsid w:val="747752AE"/>
    <w:rsid w:val="755E0D8A"/>
    <w:rsid w:val="7715196D"/>
    <w:rsid w:val="79325AFD"/>
    <w:rsid w:val="7A17434A"/>
    <w:rsid w:val="7A9E7C85"/>
    <w:rsid w:val="7AED7EDA"/>
    <w:rsid w:val="7AF4245F"/>
    <w:rsid w:val="7BE83BD7"/>
    <w:rsid w:val="7BFE06D4"/>
    <w:rsid w:val="7C442624"/>
    <w:rsid w:val="7C635AEE"/>
    <w:rsid w:val="7DF7D0FA"/>
    <w:rsid w:val="7E77A212"/>
    <w:rsid w:val="7EA00417"/>
    <w:rsid w:val="7EB30960"/>
    <w:rsid w:val="7F476206"/>
    <w:rsid w:val="7FAB308C"/>
    <w:rsid w:val="7FDF0383"/>
    <w:rsid w:val="7FF65211"/>
    <w:rsid w:val="7FFF7E53"/>
    <w:rsid w:val="9BDB2A13"/>
    <w:rsid w:val="AF7B9BB2"/>
    <w:rsid w:val="C73B0E38"/>
    <w:rsid w:val="CFBD20EB"/>
    <w:rsid w:val="DFCF9520"/>
    <w:rsid w:val="EAE3711B"/>
    <w:rsid w:val="F7DE0F58"/>
    <w:rsid w:val="FBD6B1A9"/>
    <w:rsid w:val="FEFFC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keepNext/>
      <w:keepLines/>
      <w:jc w:val="left"/>
      <w:outlineLvl w:val="1"/>
    </w:pPr>
    <w:rPr>
      <w:rFonts w:ascii="Arial" w:hAnsi="Arial" w:eastAsia="黑体"/>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26"/>
      <w:szCs w:val="26"/>
      <w:lang w:val="en-US" w:eastAsia="en-US" w:bidi="ar-SA"/>
    </w:rPr>
  </w:style>
  <w:style w:type="paragraph" w:styleId="5">
    <w:name w:val="Body Text Indent"/>
    <w:basedOn w:val="1"/>
    <w:qFormat/>
    <w:uiPriority w:val="0"/>
    <w:pPr>
      <w:ind w:firstLine="640" w:firstLineChars="200"/>
    </w:pPr>
    <w:rPr>
      <w:rFonts w:ascii="仿宋_GB2312" w:eastAsia="仿宋_GB2312"/>
      <w:sz w:val="32"/>
      <w:szCs w:val="32"/>
    </w:rPr>
  </w:style>
  <w:style w:type="paragraph" w:styleId="6">
    <w:name w:val="footer"/>
    <w:basedOn w:val="1"/>
    <w:link w:val="14"/>
    <w:qFormat/>
    <w:uiPriority w:val="0"/>
    <w:pPr>
      <w:tabs>
        <w:tab w:val="center" w:pos="4153"/>
        <w:tab w:val="right" w:pos="8306"/>
      </w:tabs>
      <w:snapToGrid w:val="0"/>
      <w:spacing w:line="240" w:lineRule="auto"/>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unhideWhenUsed/>
    <w:qFormat/>
    <w:uiPriority w:val="99"/>
    <w:pPr>
      <w:ind w:firstLine="420"/>
    </w:p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eastAsia="仿宋_GB2312" w:asciiTheme="minorHAnsi" w:hAnsiTheme="minorHAnsi" w:cstheme="minorBidi"/>
      <w:kern w:val="2"/>
      <w:sz w:val="18"/>
      <w:szCs w:val="18"/>
    </w:rPr>
  </w:style>
  <w:style w:type="character" w:customStyle="1" w:styleId="14">
    <w:name w:val="页脚 Char"/>
    <w:basedOn w:val="11"/>
    <w:link w:val="6"/>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3277</Words>
  <Characters>3314</Characters>
  <Lines>17</Lines>
  <Paragraphs>4</Paragraphs>
  <TotalTime>26</TotalTime>
  <ScaleCrop>false</ScaleCrop>
  <LinksUpToDate>false</LinksUpToDate>
  <CharactersWithSpaces>3341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2022-02-26T15:17:00Z</dcterms:created>
  <dc:creator>asus666</dc:creator>
  <cp:lastModifiedBy>Lee</cp:lastModifiedBy>
  <cp:lastPrinted>2024-10-18T00:38:00Z</cp:lastPrinted>
  <dcterms:modified xsi:type="dcterms:W3CDTF">2025-03-10T08:40:12Z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5B9370E1ABFC4219A39DB0CFE17C32A5</vt:lpwstr>
  </property>
  <property fmtid="{D5CDD505-2E9C-101B-9397-08002B2CF9AE}" pid="4" name="KSOTemplateDocerSaveRecord">
    <vt:lpwstr>eyJoZGlkIjoiOWZkN2I0ZmZjZmE4MzcwNDI4MWVhMjYyOGE4NWVhNTYiLCJ1c2VySWQiOiI5NDY2NTc5NzcifQ==</vt:lpwstr>
  </property>
</Properties>
</file>