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73" w:line="419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8"/>
          <w:kern w:val="0"/>
          <w:position w:val="1"/>
          <w:sz w:val="32"/>
          <w:szCs w:val="32"/>
          <w:lang w:eastAsia="en-US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en-US"/>
        </w:rPr>
        <w:t>2024年度普法责任人清单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8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551"/>
        <w:gridCol w:w="1555"/>
        <w:gridCol w:w="2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6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单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1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位</w:t>
            </w:r>
          </w:p>
        </w:tc>
        <w:tc>
          <w:tcPr>
            <w:tcW w:w="7090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泰安市教育局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0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spacing w:val="-8"/>
                <w:kern w:val="0"/>
                <w:sz w:val="32"/>
                <w:szCs w:val="32"/>
                <w:lang w:eastAsia="en-US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6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5" w:lineRule="auto"/>
              <w:ind w:left="22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责任领导</w:t>
            </w:r>
          </w:p>
        </w:tc>
        <w:tc>
          <w:tcPr>
            <w:tcW w:w="255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王家民</w:t>
            </w:r>
          </w:p>
        </w:tc>
        <w:tc>
          <w:tcPr>
            <w:tcW w:w="15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5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职   务</w:t>
            </w:r>
          </w:p>
        </w:tc>
        <w:tc>
          <w:tcPr>
            <w:tcW w:w="29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市教育局党组成员、副局长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6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ind w:left="22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责任部门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市教育局政策研究室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6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责任人</w:t>
            </w:r>
          </w:p>
        </w:tc>
        <w:tc>
          <w:tcPr>
            <w:tcW w:w="255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董殿楠</w:t>
            </w:r>
          </w:p>
        </w:tc>
        <w:tc>
          <w:tcPr>
            <w:tcW w:w="15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5" w:lineRule="auto"/>
              <w:ind w:left="244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职   务</w:t>
            </w:r>
          </w:p>
        </w:tc>
        <w:tc>
          <w:tcPr>
            <w:tcW w:w="29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政策研究室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主要负责人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67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5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联系方式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5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（责任人）</w:t>
            </w:r>
          </w:p>
        </w:tc>
        <w:tc>
          <w:tcPr>
            <w:tcW w:w="2551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val="en-US" w:eastAsia="zh-CN"/>
              </w:rPr>
              <w:t>17553855950</w:t>
            </w:r>
          </w:p>
        </w:tc>
        <w:tc>
          <w:tcPr>
            <w:tcW w:w="15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sz w:val="32"/>
                <w:szCs w:val="32"/>
                <w:lang w:eastAsia="en-US"/>
              </w:rPr>
              <w:t>电子邮箱</w:t>
            </w:r>
          </w:p>
        </w:tc>
        <w:tc>
          <w:tcPr>
            <w:tcW w:w="298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32"/>
                <w:szCs w:val="32"/>
                <w:lang w:val="en-US" w:eastAsia="zh-CN" w:bidi="ar-SA"/>
              </w:rPr>
              <w:t>tajyzys@163.com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2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填表说明：1.责任领导是指本单位负责普法工作的分管领导。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1180" w:firstLineChars="5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2.责任部门是指本单位具体负责普法工作的内部科室。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firstLine="1180" w:firstLineChars="5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3.科室负责人出现调整的要及时报市委依法治市办。</w:t>
      </w:r>
    </w:p>
    <w:p>
      <w:pPr>
        <w:spacing w:line="188" w:lineRule="auto"/>
        <w:rPr>
          <w:sz w:val="24"/>
          <w:szCs w:val="24"/>
        </w:rPr>
        <w:sectPr>
          <w:footerReference r:id="rId3" w:type="default"/>
          <w:pgSz w:w="11906" w:h="16839"/>
          <w:pgMar w:top="1431" w:right="1662" w:bottom="1141" w:left="1475" w:header="0" w:footer="891" w:gutter="0"/>
          <w:cols w:space="720" w:num="1"/>
        </w:sect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en-US"/>
        </w:rPr>
        <w:t>2024年度普法责任清单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7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7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单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1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位</w:t>
            </w:r>
          </w:p>
        </w:tc>
        <w:tc>
          <w:tcPr>
            <w:tcW w:w="7282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泰安市教育局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auto"/>
              <w:ind w:left="2973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7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  <w:t>普法内容</w:t>
            </w:r>
          </w:p>
        </w:tc>
        <w:tc>
          <w:tcPr>
            <w:tcW w:w="728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eastAsia="zh-CN"/>
              </w:rPr>
              <w:t>宪法、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教育法、义务教育法、教师法、职业教育法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民办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教育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促进法、国家通用语言文字法等</w:t>
            </w:r>
            <w:r>
              <w:rPr>
                <w:rFonts w:hint="eastAsia" w:ascii="仿宋" w:hAnsi="仿宋" w:eastAsia="仿宋" w:cs="仿宋"/>
                <w:spacing w:val="-4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部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法律法规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7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  <w:t>普法对象</w:t>
            </w:r>
          </w:p>
        </w:tc>
        <w:tc>
          <w:tcPr>
            <w:tcW w:w="728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5"/>
                <w:kern w:val="2"/>
                <w:sz w:val="32"/>
                <w:szCs w:val="32"/>
                <w:lang w:val="en-US" w:eastAsia="zh-CN" w:bidi="ar-SA"/>
              </w:rPr>
              <w:t>教育部门工作人员、教师、学生、家长和社会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2" w:hRule="atLeast"/>
        </w:trPr>
        <w:tc>
          <w:tcPr>
            <w:tcW w:w="17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32"/>
                <w:szCs w:val="32"/>
                <w:lang w:eastAsia="en-US"/>
              </w:rPr>
              <w:t>普法目标</w:t>
            </w:r>
          </w:p>
        </w:tc>
        <w:tc>
          <w:tcPr>
            <w:tcW w:w="728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540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1.5月第2周，利用“职业教育活动周”的时间，通过丰富多彩的宣传展示活动，广泛开展《职业教育法》普及工作。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540" w:firstLineChars="20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.9月第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周，教师节期间利用展板、宣传册、致教师的一封信等形式，广泛宣传《教师法》，切实维护教师切身利益。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540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3.9月第3周，组织开展《国家通用语言文字法》宣传周活动，在全社会大力推广使用普通话和规范汉字。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540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4.10月中旬，依托“全民终身学习活动周”，组织职业院校、培训机构，广泛开展《民办教育促进法》宣传教育活动。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firstLine="540" w:firstLineChars="2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5.12月4日前后，在国家宪法日前后开展“宪法晨读”等宪法宣传教育活动，集中宣传6部教育法律法规，利用展板、宣传栏、新媒体等方式开展普法活动。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54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6.适时举行全市学生“学宪法讲宪法”主题教育活动，普及与青少年学生密切相关的《教育法》《义务教育法》《未成年人保护法》等教育法律法规，提高学生学法、用法、尊法、守法意识。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401" w:lineRule="exact"/>
        <w:ind w:left="122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4"/>
          <w:szCs w:val="24"/>
          <w:lang w:val="en-US" w:eastAsia="en-US" w:bidi="ar-SA"/>
        </w:rPr>
        <w:t>填表说明：普法内容以泰法办发〔2020〕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0"/>
          <w:position w:val="0"/>
          <w:sz w:val="24"/>
          <w:szCs w:val="24"/>
          <w:lang w:val="en-US" w:eastAsia="zh-CN" w:bidi="ar-SA"/>
        </w:rPr>
        <w:t>19</w:t>
      </w:r>
      <w:r>
        <w:rPr>
          <w:rFonts w:ascii="仿宋" w:hAnsi="仿宋" w:eastAsia="仿宋" w:cs="仿宋"/>
          <w:snapToGrid w:val="0"/>
          <w:color w:val="000000"/>
          <w:spacing w:val="0"/>
          <w:kern w:val="0"/>
          <w:position w:val="0"/>
          <w:sz w:val="24"/>
          <w:szCs w:val="24"/>
          <w:lang w:val="en-US" w:eastAsia="en-US" w:bidi="ar-SA"/>
        </w:rPr>
        <w:t>号文件列举的普法清单为基础，结合本单位实际和年度工作列明本年度需要普法的主要内容。</w:t>
      </w:r>
    </w:p>
    <w:p>
      <w:pPr>
        <w:spacing w:line="214" w:lineRule="auto"/>
        <w:rPr>
          <w:sz w:val="24"/>
          <w:szCs w:val="24"/>
        </w:rPr>
        <w:sectPr>
          <w:footerReference r:id="rId4" w:type="default"/>
          <w:pgSz w:w="11906" w:h="16839"/>
          <w:pgMar w:top="1431" w:right="1361" w:bottom="1141" w:left="1475" w:header="0" w:footer="89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58" w:line="221" w:lineRule="auto"/>
        <w:ind w:left="206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en-US"/>
        </w:rPr>
        <w:t>2024年度普法工作计划表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0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7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8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06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单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21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32"/>
                <w:szCs w:val="32"/>
                <w:lang w:eastAsia="en-US"/>
              </w:rPr>
              <w:t>位</w:t>
            </w:r>
          </w:p>
        </w:tc>
        <w:tc>
          <w:tcPr>
            <w:tcW w:w="7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泰安市教育局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4"/>
                <w:kern w:val="0"/>
                <w:sz w:val="32"/>
                <w:szCs w:val="32"/>
                <w:lang w:eastAsia="en-US"/>
              </w:rPr>
              <w:t>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6" w:hRule="atLeast"/>
        </w:trPr>
        <w:tc>
          <w:tcPr>
            <w:tcW w:w="1810" w:type="dxa"/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90" w:lineRule="auto"/>
              <w:ind w:left="186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年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5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度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6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普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4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法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6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工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5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5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计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5"/>
                <w:kern w:val="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32"/>
                <w:szCs w:val="32"/>
                <w:lang w:eastAsia="en-US"/>
              </w:rPr>
              <w:t>划</w:t>
            </w:r>
          </w:p>
        </w:tc>
        <w:tc>
          <w:tcPr>
            <w:tcW w:w="73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68" w:firstLineChars="200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一、总体要求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60" w:firstLineChars="20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按照“谁执法谁普法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”的要求，进一步健全普法宣传教育机制，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明确全市教育系统普法职责任务，以青少年学生为普法重点，丰富宣传的方式方法，提高宣传的效果，不断提高教育法律法规的知晓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率和认同度，推动依法治教、依法治校、依法执教、尊师重教。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firstLine="468" w:firstLineChars="200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二、工作措施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68" w:firstLineChars="20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（一）抓好学生法治教育。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以学校课堂教学为主阵地，以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专兼职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法治教师队伍、法治副校长为主体，上好法治教育课，开好法治教</w:t>
            </w:r>
            <w:r>
              <w:rPr>
                <w:rFonts w:ascii="仿宋" w:hAnsi="仿宋" w:eastAsia="仿宋" w:cs="仿宋"/>
                <w:sz w:val="24"/>
                <w:szCs w:val="24"/>
              </w:rPr>
              <w:t>育讲座，上好法治教育班会。以全市学生“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学宪法讲宪法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”活动为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抓手，广泛宣传《教育法》《义务教育法》等法律法规。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44" w:firstLineChars="20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（二）抓好机关干部学法。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落实局党组理论学习中心组学习计划，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加强法律法规学习，以上率下，带动学习。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将“谁执法谁普法”工作纳入本单位工作要点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组织局机关干部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>职工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加全市普法考试，确保参与率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100%、合格率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100%。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68" w:firstLineChars="20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（三）抓好学生家长普法。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利用家长会、致家长的一封信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、微信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群等形式，向广大家长宣传教育法律法规，提高家长法治观念。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20" w:firstLineChars="20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5"/>
                <w:sz w:val="24"/>
                <w:szCs w:val="24"/>
              </w:rPr>
              <w:t>（四）抓好社会公众普法。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利用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“职业教育活动周”“全民终身学习活动周”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“国家宪法日”“教师节”“推广普通话宣传活动周”等重要时间节点，通过印发宣传材料、媒体宣传等形式向社会广泛宣传教育法律法规。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firstLine="468" w:firstLineChars="200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三、工作时限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firstLine="472" w:firstLineChars="200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年底前。根据具体时间节点普法任务落实。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 w:firstLine="460" w:firstLineChars="200"/>
              <w:jc w:val="both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四、保障措施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firstLine="488" w:firstLineChars="200"/>
              <w:jc w:val="both"/>
              <w:textAlignment w:val="baseline"/>
              <w:rPr>
                <w:rFonts w:ascii="仿宋" w:hAnsi="仿宋" w:eastAsia="仿宋" w:cs="仿宋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建立完善全市教育系统普法工作机制，将普法内容、普法任务、工作目标分解落实到局机关每个执法责任科室，加强横向联系和纵向调度，明确具体措施，指定责任人员，一级抓一级，层层抓落实。办公室加强调度指导，确保普法工作计划目标任务落实落到位。建立“谁执法、谁普法、谁宣传 ”工作制度，局机关科室及时做好普法活动宣传，活动总结于活动结束后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日内报政策研究室。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0" w:lineRule="exact"/>
              <w:ind w:left="55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（可另加附页）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填表说明：普法工作计划应包含但不限于以下内容：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31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1.将“谁执法谁普法 ”工作纳入本单位工作要点（方案）；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32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2.党委（党组）理论中心组学法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、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国家工作人员学法用法等工作；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585" w:hanging="265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3.开展以案释法、法治文化建设（场所、活动）、“法律六进 ”活动以及“12·4 ” 国家宪法日等重要时间节点主题宣传活动；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exact"/>
        <w:ind w:left="1318"/>
        <w:jc w:val="left"/>
        <w:textAlignment w:val="baseline"/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4.开展部门（行业）依法治理等。</w:t>
      </w:r>
    </w:p>
    <w:sectPr>
      <w:footerReference r:id="rId5" w:type="default"/>
      <w:pgSz w:w="11906" w:h="16839"/>
      <w:pgMar w:top="1431" w:right="1235" w:bottom="1138" w:left="1475" w:header="0" w:footer="8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4" w:lineRule="auto"/>
      <w:ind w:left="13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4"/>
        <w:szCs w:val="24"/>
        <w:lang w:val="en-US" w:eastAsia="en-US" w:bidi="ar-SA"/>
      </w:rPr>
    </w:pPr>
    <w:r>
      <w:rPr>
        <w:rFonts w:ascii="仿宋" w:hAnsi="仿宋" w:eastAsia="仿宋" w:cs="仿宋"/>
        <w:snapToGrid w:val="0"/>
        <w:color w:val="000000"/>
        <w:spacing w:val="-7"/>
        <w:kern w:val="0"/>
        <w:sz w:val="24"/>
        <w:szCs w:val="24"/>
        <w:lang w:val="en-US" w:eastAsia="en-US" w:bidi="ar-SA"/>
      </w:rPr>
      <w:t>—</w:t>
    </w:r>
    <w:r>
      <w:rPr>
        <w:rFonts w:ascii="仿宋" w:hAnsi="仿宋" w:eastAsia="仿宋" w:cs="仿宋"/>
        <w:snapToGrid w:val="0"/>
        <w:color w:val="000000"/>
        <w:spacing w:val="18"/>
        <w:kern w:val="0"/>
        <w:sz w:val="24"/>
        <w:szCs w:val="24"/>
        <w:lang w:val="en-US" w:eastAsia="en-US" w:bidi="ar-SA"/>
      </w:rPr>
      <w:t xml:space="preserve"> </w:t>
    </w:r>
    <w:r>
      <w:rPr>
        <w:rFonts w:hint="eastAsia" w:ascii="Arial" w:hAnsi="Arial" w:eastAsia="宋体" w:cs="Arial"/>
        <w:snapToGrid w:val="0"/>
        <w:color w:val="000000"/>
        <w:spacing w:val="-7"/>
        <w:kern w:val="0"/>
        <w:sz w:val="24"/>
        <w:szCs w:val="24"/>
        <w:lang w:val="en-US" w:eastAsia="zh-CN" w:bidi="ar-SA"/>
      </w:rPr>
      <w:t xml:space="preserve">1 </w:t>
    </w:r>
    <w:r>
      <w:rPr>
        <w:rFonts w:ascii="Arial" w:hAnsi="Arial" w:eastAsia="Arial" w:cs="Arial"/>
        <w:snapToGrid w:val="0"/>
        <w:color w:val="000000"/>
        <w:spacing w:val="3"/>
        <w:kern w:val="0"/>
        <w:sz w:val="24"/>
        <w:szCs w:val="24"/>
        <w:lang w:val="en-US" w:eastAsia="en-US" w:bidi="ar-SA"/>
      </w:rPr>
      <w:t xml:space="preserve"> </w:t>
    </w:r>
    <w:r>
      <w:rPr>
        <w:rFonts w:ascii="仿宋" w:hAnsi="仿宋" w:eastAsia="仿宋" w:cs="仿宋"/>
        <w:snapToGrid w:val="0"/>
        <w:color w:val="000000"/>
        <w:spacing w:val="-7"/>
        <w:kern w:val="0"/>
        <w:sz w:val="24"/>
        <w:szCs w:val="24"/>
        <w:lang w:val="en-US" w:eastAsia="en-US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5" w:lineRule="auto"/>
      <w:ind w:left="810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4"/>
        <w:szCs w:val="24"/>
        <w:lang w:val="en-US" w:eastAsia="en-US" w:bidi="ar-SA"/>
      </w:rPr>
    </w:pPr>
    <w:r>
      <w:rPr>
        <w:rFonts w:ascii="仿宋" w:hAnsi="仿宋" w:eastAsia="仿宋" w:cs="仿宋"/>
        <w:snapToGrid w:val="0"/>
        <w:color w:val="000000"/>
        <w:spacing w:val="-7"/>
        <w:kern w:val="0"/>
        <w:sz w:val="24"/>
        <w:szCs w:val="24"/>
        <w:lang w:val="en-US" w:eastAsia="en-US" w:bidi="ar-SA"/>
      </w:rPr>
      <w:t>—</w:t>
    </w:r>
    <w:r>
      <w:rPr>
        <w:rFonts w:ascii="仿宋" w:hAnsi="仿宋" w:eastAsia="仿宋" w:cs="仿宋"/>
        <w:snapToGrid w:val="0"/>
        <w:color w:val="000000"/>
        <w:spacing w:val="18"/>
        <w:kern w:val="0"/>
        <w:sz w:val="24"/>
        <w:szCs w:val="24"/>
        <w:lang w:val="en-US" w:eastAsia="en-US" w:bidi="ar-SA"/>
      </w:rPr>
      <w:t xml:space="preserve"> </w:t>
    </w:r>
    <w:r>
      <w:rPr>
        <w:rFonts w:hint="eastAsia" w:ascii="Arial" w:hAnsi="Arial" w:eastAsia="宋体" w:cs="Arial"/>
        <w:snapToGrid w:val="0"/>
        <w:color w:val="000000"/>
        <w:spacing w:val="-7"/>
        <w:kern w:val="0"/>
        <w:sz w:val="24"/>
        <w:szCs w:val="24"/>
        <w:lang w:val="en-US" w:eastAsia="zh-CN" w:bidi="ar-SA"/>
      </w:rPr>
      <w:t>2</w:t>
    </w:r>
    <w:r>
      <w:rPr>
        <w:rFonts w:ascii="Arial" w:hAnsi="Arial" w:eastAsia="Arial" w:cs="Arial"/>
        <w:snapToGrid w:val="0"/>
        <w:color w:val="000000"/>
        <w:spacing w:val="4"/>
        <w:kern w:val="0"/>
        <w:sz w:val="24"/>
        <w:szCs w:val="24"/>
        <w:lang w:val="en-US" w:eastAsia="en-US" w:bidi="ar-SA"/>
      </w:rPr>
      <w:t xml:space="preserve">  </w:t>
    </w:r>
    <w:r>
      <w:rPr>
        <w:rFonts w:ascii="仿宋" w:hAnsi="仿宋" w:eastAsia="仿宋" w:cs="仿宋"/>
        <w:snapToGrid w:val="0"/>
        <w:color w:val="000000"/>
        <w:spacing w:val="-7"/>
        <w:kern w:val="0"/>
        <w:sz w:val="24"/>
        <w:szCs w:val="24"/>
        <w:lang w:val="en-US" w:eastAsia="en-US" w:bidi="ar-S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2" w:lineRule="auto"/>
      <w:ind w:left="13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4"/>
        <w:szCs w:val="24"/>
        <w:lang w:val="en-US" w:eastAsia="en-US" w:bidi="ar-SA"/>
      </w:rPr>
    </w:pPr>
    <w:r>
      <w:rPr>
        <w:rFonts w:ascii="仿宋" w:hAnsi="仿宋" w:eastAsia="仿宋" w:cs="仿宋"/>
        <w:snapToGrid w:val="0"/>
        <w:color w:val="000000"/>
        <w:spacing w:val="-5"/>
        <w:kern w:val="0"/>
        <w:sz w:val="24"/>
        <w:szCs w:val="24"/>
        <w:lang w:val="en-US" w:eastAsia="en-US" w:bidi="ar-SA"/>
      </w:rPr>
      <w:t>—</w:t>
    </w:r>
    <w:r>
      <w:rPr>
        <w:rFonts w:ascii="仿宋" w:hAnsi="仿宋" w:eastAsia="仿宋" w:cs="仿宋"/>
        <w:snapToGrid w:val="0"/>
        <w:color w:val="000000"/>
        <w:spacing w:val="12"/>
        <w:kern w:val="0"/>
        <w:sz w:val="24"/>
        <w:szCs w:val="24"/>
        <w:lang w:val="en-US" w:eastAsia="en-US" w:bidi="ar-SA"/>
      </w:rPr>
      <w:t xml:space="preserve"> </w:t>
    </w:r>
    <w:r>
      <w:rPr>
        <w:rFonts w:hint="eastAsia" w:ascii="Arial" w:hAnsi="Arial" w:eastAsia="宋体" w:cs="Arial"/>
        <w:snapToGrid w:val="0"/>
        <w:color w:val="000000"/>
        <w:spacing w:val="-5"/>
        <w:kern w:val="0"/>
        <w:sz w:val="24"/>
        <w:szCs w:val="24"/>
        <w:lang w:val="en-US" w:eastAsia="zh-CN" w:bidi="ar-SA"/>
      </w:rPr>
      <w:t>3</w:t>
    </w:r>
    <w:r>
      <w:rPr>
        <w:rFonts w:ascii="Arial" w:hAnsi="Arial" w:eastAsia="Arial" w:cs="Arial"/>
        <w:snapToGrid w:val="0"/>
        <w:color w:val="000000"/>
        <w:spacing w:val="3"/>
        <w:kern w:val="0"/>
        <w:sz w:val="24"/>
        <w:szCs w:val="24"/>
        <w:lang w:val="en-US" w:eastAsia="en-US" w:bidi="ar-SA"/>
      </w:rPr>
      <w:t xml:space="preserve">  </w:t>
    </w:r>
    <w:r>
      <w:rPr>
        <w:rFonts w:ascii="仿宋" w:hAnsi="仿宋" w:eastAsia="仿宋" w:cs="仿宋"/>
        <w:snapToGrid w:val="0"/>
        <w:color w:val="000000"/>
        <w:spacing w:val="-5"/>
        <w:kern w:val="0"/>
        <w:sz w:val="24"/>
        <w:szCs w:val="24"/>
        <w:lang w:val="en-US" w:eastAsia="en-US" w:bidi="ar-S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jJkMTExNTM4MGZlMjkyYTVlZDI4Yjg4YWMyZDcifQ=="/>
  </w:docVars>
  <w:rsids>
    <w:rsidRoot w:val="3CFD78C6"/>
    <w:rsid w:val="0FCF020A"/>
    <w:rsid w:val="16706583"/>
    <w:rsid w:val="19202A98"/>
    <w:rsid w:val="3CFD78C6"/>
    <w:rsid w:val="5D710F27"/>
    <w:rsid w:val="70D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1553</Words>
  <Characters>1620</Characters>
  <Lines>0</Lines>
  <Paragraphs>0</Paragraphs>
  <TotalTime>3</TotalTime>
  <ScaleCrop>false</ScaleCrop>
  <LinksUpToDate>false</LinksUpToDate>
  <CharactersWithSpaces>1666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2024-05-06T01:19:00Z</dcterms:created>
  <dc:creator>山村教师</dc:creator>
  <cp:lastModifiedBy>山村教师</cp:lastModifiedBy>
  <dcterms:modified xsi:type="dcterms:W3CDTF">2024-05-06T02:12:16Z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A95545ED8DE84BBBAD88A296076B73BC_11</vt:lpwstr>
  </property>
</Properties>
</file>